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Schedule 18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w:t>
      </w:r>
      <w:r w:rsidDel="00000000" w:rsidR="00000000" w:rsidRPr="00000000">
        <w:rPr>
          <w:rFonts w:ascii="Arial" w:cs="Arial" w:eastAsia="Arial" w:hAnsi="Arial"/>
          <w:b w:val="1"/>
          <w:sz w:val="20"/>
          <w:szCs w:val="20"/>
          <w:rtl w:val="0"/>
        </w:rPr>
        <w:t xml:space="preserve">stress</w:t>
      </w: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20"/>
          <w:szCs w:val="2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985"/>
        </w:tabs>
        <w:spacing w:after="120" w:before="12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Guidance: This Schedule provides the Authority and the Customer with the option of using Credit Ratings and/or Financial Indicators for the purposes of the Financial Distress Provisions. Customers may use any combination of these indicators to suit their own requirements and may delete or amend as required. Customers should ensure that the drafting of any Financial Indicators aligns with the financial standing criteria used during the selection stage of the procurement</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Definitions</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93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this Schedule, the following definitions shall apply:</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0"/>
          <w:szCs w:val="20"/>
        </w:rPr>
      </w:pPr>
      <w:r w:rsidDel="00000000" w:rsidR="00000000" w:rsidRPr="00000000">
        <w:rPr>
          <w:rtl w:val="0"/>
        </w:rPr>
      </w:r>
    </w:p>
    <w:tbl>
      <w:tblPr>
        <w:tblStyle w:val="Table1"/>
        <w:tblW w:w="8790.0" w:type="dxa"/>
        <w:jc w:val="left"/>
        <w:tblInd w:w="3.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955"/>
        <w:tblGridChange w:id="0">
          <w:tblGrid>
            <w:gridCol w:w="2835"/>
            <w:gridCol w:w="5955"/>
          </w:tblGrid>
        </w:tblGridChange>
      </w:tblGrid>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“Applicable Financial Indicators”</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rPr>
            </w:pPr>
            <w:r w:rsidDel="00000000" w:rsidR="00000000" w:rsidRPr="00000000">
              <w:rPr>
                <w:rFonts w:ascii="Arial" w:cs="Arial" w:eastAsia="Arial" w:hAnsi="Arial"/>
                <w:color w:val="000000"/>
                <w:rtl w:val="0"/>
              </w:rPr>
              <w:t xml:space="preserve">means the financial indicators from Paragraph </w:t>
            </w:r>
            <w:r w:rsidDel="00000000" w:rsidR="00000000" w:rsidRPr="00000000">
              <w:rPr>
                <w:rFonts w:ascii="Arial" w:cs="Arial" w:eastAsia="Arial" w:hAnsi="Arial"/>
                <w:smallCaps w:val="1"/>
                <w:color w:val="000000"/>
                <w:rtl w:val="0"/>
              </w:rPr>
              <w:t xml:space="preserve">5.1 </w:t>
            </w:r>
            <w:r w:rsidDel="00000000" w:rsidR="00000000" w:rsidRPr="00000000">
              <w:rPr>
                <w:rFonts w:ascii="Arial" w:cs="Arial" w:eastAsia="Arial" w:hAnsi="Arial"/>
                <w:color w:val="000000"/>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“Board”</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color w:val="000000"/>
              </w:rPr>
            </w:pPr>
            <w:r w:rsidDel="00000000" w:rsidR="00000000" w:rsidRPr="00000000">
              <w:rPr>
                <w:rFonts w:ascii="Arial" w:cs="Arial" w:eastAsia="Arial" w:hAnsi="Arial"/>
                <w:color w:val="000000"/>
                <w:rtl w:val="0"/>
              </w:rPr>
              <w:t xml:space="preserve">means the Supplier’s board of directors;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“Board Confirmation”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“Bronze Contract”</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 Customer Contract categorised as a Bronze contract using the Cabinet Office Contract Tiering Tool;</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“Cabinet Office Markets and Suppliers Team”</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bookmarkStart w:colFirst="0" w:colLast="0" w:name="_heading=h.3dy6vkm" w:id="0"/>
            <w:bookmarkEnd w:id="0"/>
            <w:r w:rsidDel="00000000" w:rsidR="00000000" w:rsidRPr="00000000">
              <w:rPr>
                <w:rFonts w:ascii="Arial" w:cs="Arial" w:eastAsia="Arial" w:hAnsi="Arial"/>
                <w:color w:val="000000"/>
                <w:rtl w:val="0"/>
              </w:rPr>
              <w:t xml:space="preserve">means, in this Schedule 18, ‘Additional Services Contract’ or ‘Customer Contract’ as the context requires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“Credit Rating Threshold”</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“FDE Group”</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the [Supplier, Key Sub-contractors, [the Guarantor] and the [Monitored Suppliers]];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Distress Event”</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Any of the events listed in Paragraph 3.1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Distress Remediation Plan”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 plan setting out how the Supplier will ensure the continued performance and delivery of the Services in accordance with the Contract in the event that a Financial Distress Event occurs;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Indicators”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Target Thresholds”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“Monitored Suppliers”</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“Rating Agencies”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rating agencies listed in Annex 1 of this Schedule;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“Strategic Supplier”</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means those suppliers </w:t>
            </w:r>
            <w:r w:rsidDel="00000000" w:rsidR="00000000" w:rsidRPr="00000000">
              <w:rPr>
                <w:rFonts w:ascii="Arial" w:cs="Arial" w:eastAsia="Arial" w:hAnsi="Arial"/>
                <w:rtl w:val="0"/>
              </w:rPr>
              <w:t xml:space="preserve">to the government</w:t>
            </w:r>
            <w:r w:rsidDel="00000000" w:rsidR="00000000" w:rsidRPr="00000000">
              <w:rPr>
                <w:rFonts w:ascii="Arial" w:cs="Arial" w:eastAsia="Arial" w:hAnsi="Arial"/>
                <w:color w:val="000000"/>
                <w:rtl w:val="0"/>
              </w:rPr>
              <w:t xml:space="preserve"> listed at </w:t>
            </w:r>
            <w:hyperlink r:id="rId7">
              <w:r w:rsidDel="00000000" w:rsidR="00000000" w:rsidRPr="00000000">
                <w:rPr>
                  <w:rFonts w:ascii="Arial" w:cs="Arial" w:eastAsia="Arial" w:hAnsi="Arial"/>
                  <w:color w:val="000000"/>
                  <w:rtl w:val="0"/>
                </w:rPr>
                <w:t xml:space="preserve">https://www.gov.uk/government/publications/strategic-suppliers</w:t>
              </w:r>
            </w:hyperlink>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1A.</w:t>
        <w:tab/>
        <w:t xml:space="preserve">Customer</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1A.1 Notwithstanding any other provision of this Framework Agreement, the Customer, the Supplier and the Authority recognise that the Customer shall have the right to enforce the Authority’s rights under this Schedule.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Warranties and duty to notify</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425" w:hanging="425"/>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warrants and represents to the Authority for the benefit of the Authority that as at the Commencement Date:</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promptly notify (or shall procure that its auditors promptly notify) the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regularly monitor the credit ratings of each entity in the FDE Group with the Rating Agencies;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promptly notify (or shall procure that its auditors promptly notify) the Customer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Each report submitted by the Supplier pursuant to paragraph 2.3.2 shall:</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be a single report with separate sections for each of the FDE Group entities;</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contain a sufficient level of information to enable the Authority to verify the calculations that have been made in respect of the Financial Indicators;</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include key financial and other supporting information (including any accounts data that has been relied on) as separate annexes;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include a history of the Financial Indicators reported by the Supplier in graph form to enable the Authority to easily analyse and assess the trends in financial performance.</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Distress events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following shall be Financial Distress Events: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credit rating of an FDE Group entity dropping below the applicable Credit Rating Threshold;</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 FDE Group entity committing a material breach of covenant to its lenders;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Key Sub-contractor notifying Authority or the Customer that the Supplier has not satisfied any material sums properly due under a specified invoice and not subject to a genuine dispute;</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of the following:</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non-payment by an FDE Group entity of any financial indebtedness;</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financial indebtedness of an FDE Group entity becoming due as a result of an event of default;</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cancellation or suspension of any financial indebtedness in respect of an FDE Group entity; or</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985"/>
        </w:tabs>
        <w:spacing w:after="120" w:before="120" w:lineRule="auto"/>
        <w:ind w:left="1700"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each case which the Authority reasonably believes (or would be likely reasonably to believe) could directly impact on the continued performance and delivery of the Services in accordance with the Contract; and</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0"/>
          <w:szCs w:val="20"/>
        </w:rPr>
      </w:pPr>
      <w:r w:rsidDel="00000000" w:rsidR="00000000" w:rsidRPr="00000000">
        <w:rPr>
          <w:rFonts w:ascii="Arial" w:cs="Arial" w:eastAsia="Arial" w:hAnsi="Arial"/>
          <w:b w:val="1"/>
          <w:color w:val="000000"/>
          <w:sz w:val="20"/>
          <w:szCs w:val="20"/>
          <w:rtl w:val="0"/>
        </w:rPr>
        <w:t xml:space="preserve">Consequences of Financial Distress Events</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 4.3 to 4.6.</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the event of a late or non-payment of a Key Sub-contractor pursuant to Paragraph 3.1.5, the Authority shall not exercise any of its rights or remedies under Paragraph 4.3 without first giving the Supplier 10 Working Days to:</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rectify such late or non-payment; or</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demonstrate to the Authority’s reasonable satisfaction that there is a valid reason for late or non-payment.</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(and shall procure that any Monitored Supplier, the Guarantor and/or any relevant Key Sub-contractor shall):</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 the request of the Authority, meet the Authority as soon as reasonably practicable (and in any event within 3 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Authority reasonably believes (taking into account the discussions and any representations made under Paragraph 4.3.1 that the Financial Distress Event could impact on the continued performance and delivery of the Services in accordance with the Contract:</w:t>
      </w:r>
    </w:p>
    <w:p w:rsidR="00000000" w:rsidDel="00000000" w:rsidP="00000000" w:rsidRDefault="00000000" w:rsidRPr="00000000" w14:paraId="0000005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to the Authority for its approval, a draft Financial Distress Remediation Plan as soon as reasonably practicable (and in any event, within 10 Working Days of the initial notification (or awareness) of the Financial Distress Event or such other period as the Authority may permit and notify to the Supplier in writing); and</w:t>
      </w:r>
    </w:p>
    <w:p w:rsidR="00000000" w:rsidDel="00000000" w:rsidP="00000000" w:rsidRDefault="00000000" w:rsidRPr="00000000" w14:paraId="0000005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to the extent that it is legally permitted to do so and subject to Paragraph 4.8, provide such information relating to the Supplier, any Monitored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not withhold its approval of a draft Financial Distress Remediation Plan unreasonably.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5 Working Days of the rejection of the first draft. This process shall be repeated until the Financial Distress Remediation Plan is approved by the Authority or referred to the Dispute Resolution Procedure set out in the Framework Agreement.</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If the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the Framework Agreement.</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Following approval of the Financial Distress Remediation Plan by the Authority, the Supplier shall:</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on a regular basis (which shall not be less than fortnightly):</w:t>
      </w:r>
    </w:p>
    <w:p w:rsidR="00000000" w:rsidDel="00000000" w:rsidP="00000000" w:rsidRDefault="00000000" w:rsidRPr="00000000" w14:paraId="0000005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Contract; and</w:t>
      </w:r>
    </w:p>
    <w:p w:rsidR="00000000" w:rsidDel="00000000" w:rsidP="00000000" w:rsidRDefault="00000000" w:rsidRPr="00000000" w14:paraId="0000005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updates are made to the Financial Distress Remediation Plan in accordance with Paragraph 4.6.1, submit an updated Financial Distress Remediation Plan to the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Supplier reasonably believes that the relevant Financial Distress Event under Paragraph 4.1 (or the circumstance or matter which has caused or otherwise led to it) no longer exists, it shall notify the Authority and the Parties may agree that the Supplier shall be relieved of its obligations under Paragraph 4.6.</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use reasonable endeavours to put in place the necessary measures to ensure that the information specified at paragraph 4.3.2(b) is available when required and on request from the Authority and within reasonable timescales. Such measures may include:</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obtaining in advance written authority from Key Sub-contractors, the Guarantor and/or Monitored Suppliers authorising the disclosure of the information to the Authority and/or entering into confidentiality agreements which permit disclosure;</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agreeing in advance with the Authority, Key Sub-contractors, the Guarantor and/or Monitored Suppliers a form of confidentiality agreement to be entered by the relevant parties to enable the disclosure of the information to the Authority;</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putting in place any other reasonable arrangements to enable the information to be lawfully disclosed to the Authority (which may include making price sensitive information available to the Authority’s nominated personnel through confidential arrangements, subject to their consent); and</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Indicators</w:t>
      </w:r>
    </w:p>
    <w:p w:rsidR="00000000" w:rsidDel="00000000" w:rsidP="00000000" w:rsidRDefault="00000000" w:rsidRPr="00000000" w14:paraId="00000066">
      <w:pPr>
        <w:rPr>
          <w:rFonts w:ascii="Arial" w:cs="Arial" w:eastAsia="Arial" w:hAnsi="Arial"/>
          <w:sz w:val="20"/>
          <w:szCs w:val="20"/>
        </w:rPr>
      </w:pPr>
      <w:r w:rsidDel="00000000" w:rsidR="00000000" w:rsidRPr="00000000">
        <w:rPr>
          <w:rFonts w:ascii="Arial" w:cs="Arial" w:eastAsia="Arial" w:hAnsi="Arial"/>
          <w:sz w:val="20"/>
          <w:szCs w:val="20"/>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0"/>
          <w:szCs w:val="20"/>
        </w:rPr>
      </w:pPr>
      <w:r w:rsidDel="00000000" w:rsidR="00000000" w:rsidRPr="00000000">
        <w:rPr>
          <w:rtl w:val="0"/>
        </w:rPr>
      </w:r>
    </w:p>
    <w:tbl>
      <w:tblPr>
        <w:tblStyle w:val="Table2"/>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Indicator</w:t>
            </w:r>
          </w:p>
        </w:tc>
        <w:tc>
          <w:tcPr>
            <w:shd w:fill="d9d9d9"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Calculation</w:t>
            </w:r>
            <w:r w:rsidDel="00000000" w:rsidR="00000000" w:rsidRPr="00000000">
              <w:rPr>
                <w:rFonts w:ascii="Arial" w:cs="Arial" w:eastAsia="Arial" w:hAnsi="Arial"/>
                <w:b w:val="1"/>
                <w:color w:val="000000"/>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Target Threshold:</w:t>
            </w:r>
          </w:p>
        </w:tc>
        <w:tc>
          <w:tcPr>
            <w:shd w:fill="d9d9d9"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rPr>
            </w:pPr>
            <w:bookmarkStart w:colFirst="0" w:colLast="0" w:name="_heading=h.1ci93xb" w:id="1"/>
            <w:bookmarkEnd w:id="1"/>
            <w:r w:rsidDel="00000000" w:rsidR="00000000" w:rsidRPr="00000000">
              <w:rPr>
                <w:rFonts w:ascii="Arial" w:cs="Arial" w:eastAsia="Arial" w:hAnsi="Arial"/>
                <w:b w:val="1"/>
                <w:color w:val="000000"/>
                <w:rtl w:val="0"/>
              </w:rPr>
              <w:t xml:space="preserve">Monitoring and Reporting Frequency [if different from the default position set out in Paragraph 2.3]</w:t>
            </w:r>
          </w:p>
        </w:tc>
      </w:tr>
      <w:tr>
        <w:trPr>
          <w:cantSplit w:val="0"/>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1</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Operating Margin</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tl w:val="0"/>
              </w:rPr>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Operating Margin = Operating Profit / Revenue</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&gt; </w:t>
            </w:r>
            <w:r w:rsidDel="00000000" w:rsidR="00000000" w:rsidRPr="00000000">
              <w:rPr>
                <w:rFonts w:ascii="Arial" w:cs="Arial" w:eastAsia="Arial" w:hAnsi="Arial"/>
                <w:i w:val="1"/>
                <w:rtl w:val="0"/>
              </w:rPr>
              <w:t xml:space="preserve">5</w:t>
            </w:r>
            <w:r w:rsidDel="00000000" w:rsidR="00000000" w:rsidRPr="00000000">
              <w:rPr>
                <w:rFonts w:ascii="Arial" w:cs="Arial" w:eastAsia="Arial" w:hAnsi="Arial"/>
                <w:i w:val="1"/>
                <w:color w:val="000000"/>
                <w:rtl w:val="0"/>
              </w:rPr>
              <w:t xml:space="preserve">%</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2</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rPr>
            </w:pPr>
            <w:r w:rsidDel="00000000" w:rsidR="00000000" w:rsidRPr="00000000">
              <w:rPr>
                <w:rFonts w:ascii="Arial" w:cs="Arial" w:eastAsia="Arial" w:hAnsi="Arial"/>
                <w:b w:val="1"/>
                <w:rtl w:val="0"/>
              </w:rPr>
              <w:t xml:space="preserve">Free Cash Flow to Net Debt Ratio</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rPr>
            </w:pPr>
            <w:r w:rsidDel="00000000" w:rsidR="00000000" w:rsidRPr="00000000">
              <w:rPr>
                <w:rFonts w:ascii="Arial" w:cs="Arial" w:eastAsia="Arial" w:hAnsi="Arial"/>
                <w:b w:val="1"/>
                <w:rtl w:val="0"/>
              </w:rPr>
              <w:t xml:space="preserve">OR</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Debt to EBITDA Ratio</w:t>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rPr>
            </w:pPr>
            <w:r w:rsidDel="00000000" w:rsidR="00000000" w:rsidRPr="00000000">
              <w:rPr>
                <w:rFonts w:ascii="Arial" w:cs="Arial" w:eastAsia="Arial" w:hAnsi="Arial"/>
                <w:i w:val="1"/>
                <w:rtl w:val="0"/>
              </w:rPr>
              <w:t xml:space="preserve">Free Cash Flow to Net Debt Ratio = Free Cash Flow / Net Debt</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rPr>
            </w:pPr>
            <w:r w:rsidDel="00000000" w:rsidR="00000000" w:rsidRPr="00000000">
              <w:rPr>
                <w:rFonts w:ascii="Arial" w:cs="Arial" w:eastAsia="Arial" w:hAnsi="Arial"/>
                <w:i w:val="1"/>
                <w:rtl w:val="0"/>
              </w:rPr>
              <w:t xml:space="preserve">OR</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Net Debt to EBITDA ratio = Net Debt / EBITDA</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rPr>
            </w:pPr>
            <w:r w:rsidDel="00000000" w:rsidR="00000000" w:rsidRPr="00000000">
              <w:rPr>
                <w:rFonts w:ascii="Arial" w:cs="Arial" w:eastAsia="Arial" w:hAnsi="Arial"/>
                <w:i w:val="1"/>
                <w:rtl w:val="0"/>
              </w:rPr>
              <w:t xml:space="preserve">&gt; 10%</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OR</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&lt; </w:t>
            </w:r>
            <w:r w:rsidDel="00000000" w:rsidR="00000000" w:rsidRPr="00000000">
              <w:rPr>
                <w:rFonts w:ascii="Arial" w:cs="Arial" w:eastAsia="Arial" w:hAnsi="Arial"/>
                <w:i w:val="1"/>
                <w:rtl w:val="0"/>
              </w:rPr>
              <w:t xml:space="preserve">2</w:t>
            </w:r>
            <w:r w:rsidDel="00000000" w:rsidR="00000000" w:rsidRPr="00000000">
              <w:rPr>
                <w:rFonts w:ascii="Arial" w:cs="Arial" w:eastAsia="Arial" w:hAnsi="Arial"/>
                <w:i w:val="1"/>
                <w:color w:val="000000"/>
                <w:rtl w:val="0"/>
              </w:rPr>
              <w:t xml:space="preserve"> times</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3</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Debt + Net Pension Deficit to EBITDA ratio</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Net Debt + Net Pension Deficit to EBITDA Ratio = (Net Debt + Net Pension Deficit) / EBITDA</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&lt; </w:t>
            </w:r>
            <w:r w:rsidDel="00000000" w:rsidR="00000000" w:rsidRPr="00000000">
              <w:rPr>
                <w:rFonts w:ascii="Arial" w:cs="Arial" w:eastAsia="Arial" w:hAnsi="Arial"/>
                <w:i w:val="1"/>
                <w:rtl w:val="0"/>
              </w:rPr>
              <w:t xml:space="preserve">3</w:t>
            </w:r>
            <w:r w:rsidDel="00000000" w:rsidR="00000000" w:rsidRPr="00000000">
              <w:rPr>
                <w:rFonts w:ascii="Arial" w:cs="Arial" w:eastAsia="Arial" w:hAnsi="Arial"/>
                <w:i w:val="1"/>
                <w:color w:val="000000"/>
                <w:rtl w:val="0"/>
              </w:rPr>
              <w:t xml:space="preserve"> times</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4</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Interest Paid Cover</w:t>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Net Interest Paid Cover = Earnings Before Interest and Tax / Net Interest Paid</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&gt; </w:t>
            </w:r>
            <w:r w:rsidDel="00000000" w:rsidR="00000000" w:rsidRPr="00000000">
              <w:rPr>
                <w:rFonts w:ascii="Arial" w:cs="Arial" w:eastAsia="Arial" w:hAnsi="Arial"/>
                <w:i w:val="1"/>
                <w:rtl w:val="0"/>
              </w:rPr>
              <w:t xml:space="preserve">3</w:t>
            </w:r>
            <w:r w:rsidDel="00000000" w:rsidR="00000000" w:rsidRPr="00000000">
              <w:rPr>
                <w:rFonts w:ascii="Arial" w:cs="Arial" w:eastAsia="Arial" w:hAnsi="Arial"/>
                <w:i w:val="1"/>
                <w:color w:val="000000"/>
                <w:rtl w:val="0"/>
              </w:rPr>
              <w:t xml:space="preserve"> times</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5</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Acid Ratio</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Acid Ratio = (Current Assets – Inventories) / Current Liabilities</w:t>
            </w:r>
          </w:p>
        </w:tc>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&gt; </w:t>
            </w:r>
            <w:r w:rsidDel="00000000" w:rsidR="00000000" w:rsidRPr="00000000">
              <w:rPr>
                <w:rFonts w:ascii="Arial" w:cs="Arial" w:eastAsia="Arial" w:hAnsi="Arial"/>
                <w:i w:val="1"/>
                <w:rtl w:val="0"/>
              </w:rPr>
              <w:t xml:space="preserve">1</w:t>
            </w:r>
            <w:r w:rsidDel="00000000" w:rsidR="00000000" w:rsidRPr="00000000">
              <w:rPr>
                <w:rFonts w:ascii="Arial" w:cs="Arial" w:eastAsia="Arial" w:hAnsi="Arial"/>
                <w:i w:val="1"/>
                <w:color w:val="000000"/>
                <w:rtl w:val="0"/>
              </w:rPr>
              <w:t xml:space="preserve"> times</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6</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Asset value</w:t>
            </w:r>
          </w:p>
        </w:tc>
        <w:tc>
          <w:tcP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Net Asset Value = Net Assets</w:t>
            </w:r>
          </w:p>
        </w:tc>
        <w:tc>
          <w:tcP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&gt; £</w:t>
            </w:r>
            <w:r w:rsidDel="00000000" w:rsidR="00000000" w:rsidRPr="00000000">
              <w:rPr>
                <w:rFonts w:ascii="Arial" w:cs="Arial" w:eastAsia="Arial" w:hAnsi="Arial"/>
                <w:i w:val="1"/>
                <w:rtl w:val="0"/>
              </w:rPr>
              <w:t xml:space="preserve">1</w:t>
            </w:r>
            <w:r w:rsidDel="00000000" w:rsidR="00000000" w:rsidRPr="00000000">
              <w:rPr>
                <w:rtl w:val="0"/>
              </w:rPr>
            </w:r>
          </w:p>
        </w:tc>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7</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Group Exposure Ratio</w:t>
            </w:r>
          </w:p>
        </w:tc>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Group Exposure / Gross Assets</w:t>
            </w:r>
          </w:p>
        </w:tc>
        <w:tc>
          <w:tcPr>
            <w:vAlign w:val="center"/>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Fonts w:ascii="Arial" w:cs="Arial" w:eastAsia="Arial" w:hAnsi="Arial"/>
                <w:i w:val="1"/>
                <w:color w:val="000000"/>
                <w:rtl w:val="0"/>
              </w:rPr>
              <w:t xml:space="preserve">&lt; </w:t>
            </w:r>
            <w:r w:rsidDel="00000000" w:rsidR="00000000" w:rsidRPr="00000000">
              <w:rPr>
                <w:rFonts w:ascii="Arial" w:cs="Arial" w:eastAsia="Arial" w:hAnsi="Arial"/>
                <w:i w:val="1"/>
                <w:rtl w:val="0"/>
              </w:rPr>
              <w:t xml:space="preserve">25</w:t>
            </w:r>
            <w:r w:rsidDel="00000000" w:rsidR="00000000" w:rsidRPr="00000000">
              <w:rPr>
                <w:rFonts w:ascii="Arial" w:cs="Arial" w:eastAsia="Arial" w:hAnsi="Arial"/>
                <w:i w:val="1"/>
                <w:color w:val="000000"/>
                <w:rtl w:val="0"/>
              </w:rPr>
              <w:t xml:space="preserve">%</w:t>
            </w:r>
          </w:p>
        </w:tc>
        <w:tc>
          <w:tcPr>
            <w:vAlign w:val="center"/>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rPr>
            </w:pPr>
            <w:r w:rsidDel="00000000" w:rsidR="00000000" w:rsidRPr="00000000">
              <w:rPr>
                <w:rtl w:val="0"/>
              </w:rPr>
            </w:r>
          </w:p>
        </w:tc>
      </w:tr>
    </w:tb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42"/>
        </w:tabs>
        <w:spacing w:before="120" w:lineRule="auto"/>
        <w:rPr>
          <w:rFonts w:ascii="Arial" w:cs="Arial" w:eastAsia="Arial" w:hAnsi="Arial"/>
          <w:smallCaps w:val="1"/>
          <w:color w:val="000000"/>
          <w:sz w:val="20"/>
          <w:szCs w:val="20"/>
        </w:rPr>
      </w:pPr>
      <w:r w:rsidDel="00000000" w:rsidR="00000000" w:rsidRPr="00000000">
        <w:rPr>
          <w:rFonts w:ascii="Arial" w:cs="Arial" w:eastAsia="Arial" w:hAnsi="Arial"/>
          <w:color w:val="000000"/>
          <w:sz w:val="20"/>
          <w:szCs w:val="20"/>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Monitored Suppliers </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3"/>
        <w:tblW w:w="8296.0"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1"/>
        <w:gridCol w:w="4205"/>
        <w:tblGridChange w:id="0">
          <w:tblGrid>
            <w:gridCol w:w="4091"/>
            <w:gridCol w:w="4205"/>
          </w:tblGrid>
        </w:tblGridChange>
      </w:tblGrid>
      <w:tr>
        <w:trPr>
          <w:cantSplit w:val="0"/>
          <w:tblHeader w:val="0"/>
        </w:trPr>
        <w:tc>
          <w:tcPr>
            <w:shd w:fill="d9d9d9" w:val="clear"/>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Monitored Supplier</w:t>
            </w:r>
          </w:p>
        </w:tc>
        <w:tc>
          <w:tcPr>
            <w:shd w:fill="d9d9d9" w:val="clear"/>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Applicable Financial Indicators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bookmarkStart w:colFirst="0" w:colLast="0" w:name="_heading=h.3whwml4" w:id="2"/>
            <w:bookmarkEnd w:id="2"/>
            <w:r w:rsidDel="00000000" w:rsidR="00000000" w:rsidRPr="00000000">
              <w:rPr>
                <w:rFonts w:ascii="Arial" w:cs="Arial" w:eastAsia="Arial" w:hAnsi="Arial"/>
                <w:color w:val="000000"/>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highlight w:val="yellow"/>
              </w:rPr>
            </w:pP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highlight w:val="yellow"/>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highlight w:val="yellow"/>
              </w:rPr>
            </w:pPr>
            <w:r w:rsidDel="00000000" w:rsidR="00000000" w:rsidRPr="00000000">
              <w:rPr>
                <w:rtl w:val="0"/>
              </w:rPr>
            </w:r>
          </w:p>
        </w:tc>
      </w:tr>
    </w:tbl>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Termination rights</w:t>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be entitled to terminate the </w:t>
      </w:r>
      <w:r w:rsidDel="00000000" w:rsidR="00000000" w:rsidRPr="00000000">
        <w:rPr>
          <w:rFonts w:ascii="Arial" w:cs="Arial" w:eastAsia="Arial" w:hAnsi="Arial"/>
          <w:sz w:val="20"/>
          <w:szCs w:val="20"/>
          <w:rtl w:val="0"/>
        </w:rPr>
        <w:t xml:space="preserve">Framework Agreement and a Customer shall be entitled to terminate their Customer Contract</w:t>
      </w:r>
      <w:r w:rsidDel="00000000" w:rsidR="00000000" w:rsidRPr="00000000">
        <w:rPr>
          <w:rFonts w:ascii="Arial" w:cs="Arial" w:eastAsia="Arial" w:hAnsi="Arial"/>
          <w:color w:val="000000"/>
          <w:sz w:val="20"/>
          <w:szCs w:val="20"/>
          <w:rtl w:val="0"/>
        </w:rPr>
        <w:t xml:space="preserve"> if:</w:t>
      </w:r>
    </w:p>
    <w:p w:rsidR="00000000" w:rsidDel="00000000" w:rsidP="00000000" w:rsidRDefault="00000000" w:rsidRPr="00000000" w14:paraId="000000A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fails to notify the Authority or Customer of a Financial Distress Event in accordance with Paragraph 2.3.3;</w:t>
      </w:r>
    </w:p>
    <w:p w:rsidR="00000000" w:rsidDel="00000000" w:rsidP="00000000" w:rsidRDefault="00000000" w:rsidRPr="00000000" w14:paraId="000000A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fails to comply with the terms of the Financial Distress Remediation Plan (or any updated Financial Distress Remediation Plan) in accordance with Paragraph 4.6.3</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Primacy of Credit Ratings</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Without prejudice to the Supplier’s obligations and the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be relieved automatically of its obligations under Paragraphs 4.3 to 4.6; and</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not be entitled to require the Supplier to provide financial information in accordance with Paragraph 4.3.2(b).</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Board confirmation</w:t>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If the Contract has been specified as a Critical Service Contract under Paragraph 1.1 of Part B of Annex 1 to Schedule 17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Authority in the form set out at Annex 4 to this Schedule, confirming that to the best of the Board’s knowledge and belief, it is not aware of and has no knowledge:</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that a Financial Distress Event has occurred since the later of the Commencement Date or the previous Board Confirmation or is subsisting; or</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of any matters which have occurred or are subsisting that could reasonably be expected to cause a Financial Distress Event.</w:t>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the first Board Confirmation to be provided under this Contract, the Supplier shall provide the Board Confirmation within 15 months of the Commencement Date if earlier than the timescale for submission set out in Paragraph 8.1 of this Schedule.</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Customer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Optional Clauses</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425" w:hanging="4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a Customer Contract is a Bronze Contract, if specified in the Order Form, the terms at Annex 5 shall apply to the Customer Contract in place of the foregoing terms of this Schedule 18. </w:t>
      </w:r>
    </w:p>
    <w:p w:rsidR="00000000" w:rsidDel="00000000" w:rsidP="00000000" w:rsidRDefault="00000000" w:rsidRPr="00000000" w14:paraId="000000BB">
      <w:pPr>
        <w:spacing w:after="200" w:line="276" w:lineRule="auto"/>
        <w:jc w:val="left"/>
        <w:rPr>
          <w:rFonts w:ascii="Arial" w:cs="Arial" w:eastAsia="Arial" w:hAnsi="Arial"/>
          <w:b w:val="1"/>
          <w:sz w:val="20"/>
          <w:szCs w:val="20"/>
        </w:rPr>
      </w:pPr>
      <w:r w:rsidDel="00000000" w:rsidR="00000000" w:rsidRPr="00000000">
        <w:br w:type="page"/>
      </w:r>
      <w:r w:rsidDel="00000000" w:rsidR="00000000" w:rsidRPr="00000000">
        <w:rPr>
          <w:rFonts w:ascii="Arial" w:cs="Arial" w:eastAsia="Arial" w:hAnsi="Arial"/>
          <w:b w:val="1"/>
          <w:sz w:val="20"/>
          <w:szCs w:val="20"/>
          <w:rtl w:val="0"/>
        </w:rPr>
        <w:t xml:space="preserve">Annex 1: Rating Agencies and their standard Rating System</w:t>
      </w:r>
    </w:p>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[Rating Agency 1]</w:t>
      </w:r>
    </w:p>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E">
      <w:pPr>
        <w:spacing w:after="200" w:line="276" w:lineRule="auto"/>
        <w:jc w:val="left"/>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color w:val="000000"/>
          <w:sz w:val="20"/>
          <w:szCs w:val="20"/>
        </w:rPr>
      </w:pPr>
      <w:bookmarkStart w:colFirst="0" w:colLast="0" w:name="_heading=h.2bn6wsx" w:id="3"/>
      <w:bookmarkEnd w:id="3"/>
      <w:r w:rsidDel="00000000" w:rsidR="00000000" w:rsidRPr="00000000">
        <w:rPr>
          <w:rFonts w:ascii="Arial" w:cs="Arial" w:eastAsia="Arial" w:hAnsi="Arial"/>
          <w:b w:val="1"/>
          <w:color w:val="000000"/>
          <w:sz w:val="20"/>
          <w:szCs w:val="20"/>
          <w:rtl w:val="0"/>
        </w:rPr>
        <w:t xml:space="preserve">Annex 2</w:t>
      </w:r>
      <w:r w:rsidDel="00000000" w:rsidR="00000000" w:rsidRPr="00000000">
        <w:rPr>
          <w:rFonts w:ascii="Arial" w:cs="Arial" w:eastAsia="Arial" w:hAnsi="Arial"/>
          <w:b w:val="1"/>
          <w:smallCaps w:val="1"/>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Credit Ratings and Credit Rating Thresholds</w:t>
      </w:r>
      <w:r w:rsidDel="00000000" w:rsidR="00000000" w:rsidRPr="00000000">
        <w:rPr>
          <w:rtl w:val="0"/>
        </w:rPr>
      </w:r>
    </w:p>
    <w:tbl>
      <w:tblPr>
        <w:tblStyle w:val="Table4"/>
        <w:tblW w:w="6161.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Entity</w:t>
            </w:r>
          </w:p>
        </w:tc>
        <w:tc>
          <w:tcPr>
            <w:tcBorders>
              <w:top w:color="000000" w:space="0" w:sz="4" w:val="single"/>
            </w:tcBorders>
            <w:shd w:fill="ffffff" w:val="clear"/>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Credit rating (long term)</w:t>
            </w:r>
          </w:p>
        </w:tc>
      </w:tr>
      <w:tr>
        <w:trPr>
          <w:cantSplit w:val="0"/>
          <w:tblHeader w:val="0"/>
        </w:trPr>
        <w:tc>
          <w:tcPr>
            <w:shd w:fill="ffffff" w:val="clear"/>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Supplier]</w:t>
            </w:r>
          </w:p>
        </w:tc>
        <w:tc>
          <w:tcPr>
            <w:shd w:fill="ffffff" w:val="clear"/>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rating]</w:t>
            </w:r>
          </w:p>
        </w:tc>
      </w:tr>
      <w:tr>
        <w:trPr>
          <w:cantSplit w:val="0"/>
          <w:tblHeader w:val="0"/>
        </w:trPr>
        <w:tc>
          <w:tcPr>
            <w:shd w:fill="ffffff" w:val="clear"/>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[Guarantor]</w:t>
            </w:r>
          </w:p>
        </w:tc>
        <w:tc>
          <w:tcPr>
            <w:shd w:fill="ffffff" w:val="clear"/>
          </w:tcPr>
          <w:p w:rsidR="00000000" w:rsidDel="00000000" w:rsidP="00000000" w:rsidRDefault="00000000" w:rsidRPr="00000000" w14:paraId="000000C5">
            <w:pPr>
              <w:keepNext w:val="1"/>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[insert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7">
            <w:pPr>
              <w:keepNext w:val="1"/>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[insert rating]</w:t>
            </w:r>
            <w:r w:rsidDel="00000000" w:rsidR="00000000" w:rsidRPr="00000000">
              <w:rPr>
                <w:rtl w:val="0"/>
              </w:rPr>
            </w:r>
          </w:p>
        </w:tc>
      </w:tr>
    </w:tbl>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9">
      <w:pPr>
        <w:spacing w:after="200" w:line="276" w:lineRule="auto"/>
        <w:jc w:val="left"/>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Annex 3: Calculation methodology for Financial Indicators</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bookmarkStart w:colFirst="0" w:colLast="0" w:name="_heading=h.qsh70q" w:id="4"/>
      <w:bookmarkEnd w:id="4"/>
      <w:r w:rsidDel="00000000" w:rsidR="00000000" w:rsidRPr="00000000">
        <w:rPr>
          <w:rFonts w:ascii="Arial" w:cs="Arial" w:eastAsia="Arial" w:hAnsi="Arial"/>
          <w:color w:val="000000"/>
          <w:sz w:val="20"/>
          <w:szCs w:val="20"/>
          <w:rtl w:val="0"/>
        </w:rPr>
        <w:t xml:space="preserve">Guidance: Amend this section as appropriate to reflect the calculation methodology for those Financial Indicators that are selected for inclusion in Paragraph 5.1 of this Schedule</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0"/>
          <w:szCs w:val="20"/>
          <w:u w:val="single"/>
        </w:rPr>
      </w:pPr>
      <w:r w:rsidDel="00000000" w:rsidR="00000000" w:rsidRPr="00000000">
        <w:rPr>
          <w:rFonts w:ascii="Arial" w:cs="Arial" w:eastAsia="Arial" w:hAnsi="Arial"/>
          <w:b w:val="1"/>
          <w:color w:val="000000"/>
          <w:sz w:val="20"/>
          <w:szCs w:val="20"/>
          <w:u w:val="single"/>
          <w:rtl w:val="0"/>
        </w:rPr>
        <w:t xml:space="preserve">General methodology</w:t>
      </w:r>
    </w:p>
    <w:p w:rsidR="00000000" w:rsidDel="00000000" w:rsidP="00000000" w:rsidRDefault="00000000" w:rsidRPr="00000000" w14:paraId="000000CE">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Terminology</w:t>
      </w:r>
      <w:r w:rsidDel="00000000" w:rsidR="00000000" w:rsidRPr="00000000">
        <w:rPr>
          <w:rFonts w:ascii="Arial" w:cs="Arial" w:eastAsia="Arial" w:hAnsi="Arial"/>
          <w:color w:val="000000"/>
          <w:sz w:val="20"/>
          <w:szCs w:val="20"/>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F">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0"/>
          <w:szCs w:val="20"/>
        </w:rPr>
      </w:pPr>
      <w:bookmarkStart w:colFirst="0" w:colLast="0" w:name="_heading=h.3as4poj" w:id="5"/>
      <w:bookmarkEnd w:id="5"/>
      <w:r w:rsidDel="00000000" w:rsidR="00000000" w:rsidRPr="00000000">
        <w:rPr>
          <w:rFonts w:ascii="Arial" w:cs="Arial" w:eastAsia="Arial" w:hAnsi="Arial"/>
          <w:b w:val="1"/>
          <w:i w:val="1"/>
          <w:color w:val="000000"/>
          <w:sz w:val="20"/>
          <w:szCs w:val="20"/>
          <w:rtl w:val="0"/>
        </w:rPr>
        <w:t xml:space="preserve">Groups</w:t>
      </w:r>
      <w:r w:rsidDel="00000000" w:rsidR="00000000" w:rsidRPr="00000000">
        <w:rPr>
          <w:rFonts w:ascii="Arial" w:cs="Arial" w:eastAsia="Arial" w:hAnsi="Arial"/>
          <w:color w:val="000000"/>
          <w:sz w:val="20"/>
          <w:szCs w:val="20"/>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0">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Foreign currency conversion</w:t>
      </w:r>
      <w:r w:rsidDel="00000000" w:rsidR="00000000" w:rsidRPr="00000000">
        <w:rPr>
          <w:rFonts w:ascii="Arial" w:cs="Arial" w:eastAsia="Arial" w:hAnsi="Arial"/>
          <w:color w:val="000000"/>
          <w:sz w:val="20"/>
          <w:szCs w:val="20"/>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1">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0"/>
          <w:szCs w:val="20"/>
        </w:rPr>
      </w:pPr>
      <w:r w:rsidDel="00000000" w:rsidR="00000000" w:rsidRPr="00000000">
        <w:rPr>
          <w:rFonts w:ascii="Arial" w:cs="Arial" w:eastAsia="Arial" w:hAnsi="Arial"/>
          <w:b w:val="1"/>
          <w:i w:val="1"/>
          <w:color w:val="000000"/>
          <w:sz w:val="20"/>
          <w:szCs w:val="20"/>
          <w:rtl w:val="0"/>
        </w:rPr>
        <w:t xml:space="preserve">Treatment of non-underlying items</w:t>
      </w:r>
      <w:r w:rsidDel="00000000" w:rsidR="00000000" w:rsidRPr="00000000">
        <w:rPr>
          <w:rFonts w:ascii="Arial" w:cs="Arial" w:eastAsia="Arial" w:hAnsi="Arial"/>
          <w:color w:val="000000"/>
          <w:sz w:val="20"/>
          <w:szCs w:val="20"/>
          <w:rtl w:val="0"/>
        </w:rPr>
        <w:t xml:space="preserve">: Financial Indicators should be based on the figures in the financial statements before adjusting for non-underlying items.</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0"/>
          <w:szCs w:val="20"/>
          <w:u w:val="single"/>
        </w:rPr>
      </w:pPr>
      <w:r w:rsidDel="00000000" w:rsidR="00000000" w:rsidRPr="00000000">
        <w:rPr>
          <w:rFonts w:ascii="Arial" w:cs="Arial" w:eastAsia="Arial" w:hAnsi="Arial"/>
          <w:b w:val="1"/>
          <w:color w:val="000000"/>
          <w:sz w:val="20"/>
          <w:szCs w:val="20"/>
          <w:u w:val="single"/>
          <w:rtl w:val="0"/>
        </w:rPr>
        <w:t xml:space="preserve">Specific Methodology</w:t>
      </w:r>
    </w:p>
    <w:tbl>
      <w:tblPr>
        <w:tblStyle w:val="Table5"/>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7"/>
        <w:gridCol w:w="6479"/>
        <w:tblGridChange w:id="0">
          <w:tblGrid>
            <w:gridCol w:w="2537"/>
            <w:gridCol w:w="6479"/>
          </w:tblGrid>
        </w:tblGridChange>
      </w:tblGrid>
      <w:tr>
        <w:trPr>
          <w:cantSplit w:val="0"/>
          <w:tblHeader w:val="0"/>
        </w:trPr>
        <w:tc>
          <w:tcPr>
            <w:shd w:fill="d9d9d9" w:val="clear"/>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Indicator</w:t>
            </w:r>
          </w:p>
        </w:tc>
        <w:tc>
          <w:tcPr>
            <w:shd w:fill="d9d9d9" w:val="clear"/>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Specific Methodology</w:t>
            </w:r>
          </w:p>
        </w:tc>
      </w:tr>
      <w:tr>
        <w:trPr>
          <w:cantSplit w:val="0"/>
          <w:tblHeader w:val="0"/>
        </w:trPr>
        <w:tc>
          <w:tcP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1</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[Operating Margin]</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Figures for Operating Profit and Revenue should exclude the entity’s share of the results of any joint ventures or Associates.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2</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[Free Cash Flow to Net Debt Ratio]</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OR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Debt to EBITDA Ratio]</w:t>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Free Cash Flow</w:t>
            </w:r>
            <w:r w:rsidDel="00000000" w:rsidR="00000000" w:rsidRPr="00000000">
              <w:rPr>
                <w:rFonts w:ascii="Arial" w:cs="Arial" w:eastAsia="Arial" w:hAnsi="Arial"/>
                <w:i w:val="1"/>
                <w:color w:val="000000"/>
                <w:rtl w:val="0"/>
              </w:rPr>
              <w:t xml:space="preserve">” = Net Cash Flow from Operating Activities – Capital Expenditure</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Capital Expenditure</w:t>
            </w:r>
            <w:r w:rsidDel="00000000" w:rsidR="00000000" w:rsidRPr="00000000">
              <w:rPr>
                <w:rFonts w:ascii="Arial" w:cs="Arial" w:eastAsia="Arial" w:hAnsi="Arial"/>
                <w:i w:val="1"/>
                <w:color w:val="000000"/>
                <w:rtl w:val="0"/>
              </w:rPr>
              <w:t xml:space="preserve">” = Purchase of property, plant &amp; equipment + purchase of intangible assets</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Debt</w:t>
            </w:r>
            <w:r w:rsidDel="00000000" w:rsidR="00000000" w:rsidRPr="00000000">
              <w:rPr>
                <w:rFonts w:ascii="Arial" w:cs="Arial" w:eastAsia="Arial" w:hAnsi="Arial"/>
                <w:i w:val="1"/>
                <w:color w:val="000000"/>
                <w:rtl w:val="0"/>
              </w:rPr>
              <w:t xml:space="preserve">” = Bank overdrafts + Loans and borrowings + Finance Leases + Deferred consideration payable – Cash and cash equivalents</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Cash Flow from Operating Activities</w:t>
            </w:r>
            <w:r w:rsidDel="00000000" w:rsidR="00000000" w:rsidRPr="00000000">
              <w:rPr>
                <w:rFonts w:ascii="Arial" w:cs="Arial" w:eastAsia="Arial" w:hAnsi="Arial"/>
                <w:color w:val="000000"/>
                <w:rtl w:val="0"/>
              </w:rPr>
              <w:t xml:space="preserve">: This should be stated after deduction of interest and tax paid.</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Capital expenditure</w:t>
            </w:r>
            <w:r w:rsidDel="00000000" w:rsidR="00000000" w:rsidRPr="00000000">
              <w:rPr>
                <w:rFonts w:ascii="Arial" w:cs="Arial" w:eastAsia="Arial" w:hAnsi="Arial"/>
                <w:color w:val="000000"/>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Debt</w:t>
            </w:r>
            <w:r w:rsidDel="00000000" w:rsidR="00000000" w:rsidRPr="00000000">
              <w:rPr>
                <w:rFonts w:ascii="Arial" w:cs="Arial" w:eastAsia="Arial" w:hAnsi="Arial"/>
                <w:color w:val="000000"/>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Deferred consideration payable should be included in Net Debt despite typically being non-interest bearing.</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Cash and cash equivalents should include short-term financial investments shown in current assets.</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Net debt is negative (i.e. an entity has net cash), the relevant Financial Target Threshold should be treated as having been met.]</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OR</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Debt</w:t>
            </w:r>
            <w:r w:rsidDel="00000000" w:rsidR="00000000" w:rsidRPr="00000000">
              <w:rPr>
                <w:rFonts w:ascii="Arial" w:cs="Arial" w:eastAsia="Arial" w:hAnsi="Arial"/>
                <w:i w:val="1"/>
                <w:color w:val="000000"/>
                <w:rtl w:val="0"/>
              </w:rPr>
              <w:t xml:space="preserve">” = Bank overdrafts + Loans and borrowings + Finance leases + Deferred consideration payable – Cash and cash equivalents</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EBITDA</w:t>
            </w:r>
            <w:r w:rsidDel="00000000" w:rsidR="00000000" w:rsidRPr="00000000">
              <w:rPr>
                <w:rFonts w:ascii="Arial" w:cs="Arial" w:eastAsia="Arial" w:hAnsi="Arial"/>
                <w:i w:val="1"/>
                <w:color w:val="000000"/>
                <w:rtl w:val="0"/>
              </w:rPr>
              <w:t xml:space="preserve">” = Operating profit + Depreciation charge + Amortisation charge</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Debt</w:t>
            </w:r>
            <w:r w:rsidDel="00000000" w:rsidR="00000000" w:rsidRPr="00000000">
              <w:rPr>
                <w:rFonts w:ascii="Arial" w:cs="Arial" w:eastAsia="Arial" w:hAnsi="Arial"/>
                <w:color w:val="000000"/>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Deferred consideration payable should be included in Net Debt despite typically being non-interest bearing.</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Cash and cash equivalents should include short-term financial investments shown in current assets.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bookmarkStart w:colFirst="0" w:colLast="0" w:name="_heading=h.1pxezwc" w:id="6"/>
            <w:bookmarkEnd w:id="6"/>
            <w:r w:rsidDel="00000000" w:rsidR="00000000" w:rsidRPr="00000000">
              <w:rPr>
                <w:rFonts w:ascii="Arial" w:cs="Arial" w:eastAsia="Arial" w:hAnsi="Arial"/>
                <w:i w:val="1"/>
                <w:color w:val="000000"/>
                <w:u w:val="single"/>
                <w:rtl w:val="0"/>
              </w:rPr>
              <w:t xml:space="preserve">EBITDA</w:t>
            </w:r>
            <w:r w:rsidDel="00000000" w:rsidR="00000000" w:rsidRPr="00000000">
              <w:rPr>
                <w:rFonts w:ascii="Arial" w:cs="Arial" w:eastAsia="Arial" w:hAnsi="Arial"/>
                <w:color w:val="000000"/>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3</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Debt + Net  Pension Deficit to EBITDA ratio]</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Debt</w:t>
            </w:r>
            <w:r w:rsidDel="00000000" w:rsidR="00000000" w:rsidRPr="00000000">
              <w:rPr>
                <w:rFonts w:ascii="Arial" w:cs="Arial" w:eastAsia="Arial" w:hAnsi="Arial"/>
                <w:i w:val="1"/>
                <w:color w:val="000000"/>
                <w:rtl w:val="0"/>
              </w:rPr>
              <w:t xml:space="preserve">” = Bank overdrafts + Loans and borrowings + Finance leases + Deferred consideration payable – Cash and cash equivalents</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Pension Deficit</w:t>
            </w:r>
            <w:r w:rsidDel="00000000" w:rsidR="00000000" w:rsidRPr="00000000">
              <w:rPr>
                <w:rFonts w:ascii="Arial" w:cs="Arial" w:eastAsia="Arial" w:hAnsi="Arial"/>
                <w:i w:val="1"/>
                <w:color w:val="000000"/>
                <w:rtl w:val="0"/>
              </w:rPr>
              <w:t xml:space="preserve">” = Retirement Benefit Obligations – Retirement Benefit Assets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EBITDA</w:t>
            </w:r>
            <w:r w:rsidDel="00000000" w:rsidR="00000000" w:rsidRPr="00000000">
              <w:rPr>
                <w:rFonts w:ascii="Arial" w:cs="Arial" w:eastAsia="Arial" w:hAnsi="Arial"/>
                <w:i w:val="1"/>
                <w:color w:val="000000"/>
                <w:rtl w:val="0"/>
              </w:rPr>
              <w:t xml:space="preserve">” = Operating profit + Depreciation charge + Amortisation charge</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Debt</w:t>
            </w:r>
            <w:r w:rsidDel="00000000" w:rsidR="00000000" w:rsidRPr="00000000">
              <w:rPr>
                <w:rFonts w:ascii="Arial" w:cs="Arial" w:eastAsia="Arial" w:hAnsi="Arial"/>
                <w:color w:val="000000"/>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rtl w:val="0"/>
              </w:rPr>
              <w:t xml:space="preserve">not</w:t>
            </w:r>
            <w:r w:rsidDel="00000000" w:rsidR="00000000" w:rsidRPr="00000000">
              <w:rPr>
                <w:rFonts w:ascii="Arial" w:cs="Arial" w:eastAsia="Arial" w:hAnsi="Arial"/>
                <w:color w:val="000000"/>
                <w:rtl w:val="0"/>
              </w:rPr>
              <w:t xml:space="preserve"> non-designated hedges). Borrowings should also include balances owed to other group members.</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Deferred consideration payable should be included in Net Debt despite typically being non-interest bearing.</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Cash and cash equivalents should include short-term financial investments shown in current assets.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Net Pension Deficit</w:t>
            </w:r>
            <w:r w:rsidDel="00000000" w:rsidR="00000000" w:rsidRPr="00000000">
              <w:rPr>
                <w:rFonts w:ascii="Arial" w:cs="Arial" w:eastAsia="Arial" w:hAnsi="Arial"/>
                <w:color w:val="000000"/>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‘Net Debt + Net Pension Deficit’ is negative, the relevant Financial Target Threshold should be treated as having been met.</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EBITDA</w:t>
            </w:r>
            <w:r w:rsidDel="00000000" w:rsidR="00000000" w:rsidRPr="00000000">
              <w:rPr>
                <w:rFonts w:ascii="Arial" w:cs="Arial" w:eastAsia="Arial" w:hAnsi="Arial"/>
                <w:color w:val="000000"/>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bookmarkStart w:colFirst="0" w:colLast="0" w:name="_heading=h.49x2ik5" w:id="7"/>
            <w:bookmarkEnd w:id="7"/>
            <w:r w:rsidDel="00000000" w:rsidR="00000000" w:rsidRPr="00000000">
              <w:rPr>
                <w:rFonts w:ascii="Arial" w:cs="Arial" w:eastAsia="Arial" w:hAnsi="Arial"/>
                <w:color w:val="000000"/>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4</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Interest Paid Cover]</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Earnings Before Interest and Tax</w:t>
            </w:r>
            <w:r w:rsidDel="00000000" w:rsidR="00000000" w:rsidRPr="00000000">
              <w:rPr>
                <w:rFonts w:ascii="Arial" w:cs="Arial" w:eastAsia="Arial" w:hAnsi="Arial"/>
                <w:i w:val="1"/>
                <w:color w:val="000000"/>
                <w:rtl w:val="0"/>
              </w:rPr>
              <w:t xml:space="preserve">” = Operating profit</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Net Interest Paid</w:t>
            </w:r>
            <w:r w:rsidDel="00000000" w:rsidR="00000000" w:rsidRPr="00000000">
              <w:rPr>
                <w:rFonts w:ascii="Arial" w:cs="Arial" w:eastAsia="Arial" w:hAnsi="Arial"/>
                <w:i w:val="1"/>
                <w:color w:val="000000"/>
                <w:rtl w:val="0"/>
              </w:rPr>
              <w:t xml:space="preserve">” = Interest paid – Interest received</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Interest received and interest paid should be shown on the face of the Cash Flow statement.</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5</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[Acid Ratio]</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6</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[Net Asset value]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7</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[Group Exposure Ratio]</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Group Exposure</w:t>
            </w:r>
            <w:r w:rsidDel="00000000" w:rsidR="00000000" w:rsidRPr="00000000">
              <w:rPr>
                <w:rFonts w:ascii="Arial" w:cs="Arial" w:eastAsia="Arial" w:hAnsi="Arial"/>
                <w:i w:val="1"/>
                <w:color w:val="000000"/>
                <w:rtl w:val="0"/>
              </w:rPr>
              <w:t xml:space="preserve">” = Balances owed by Group Undertakings + Contingent liabilities assumed in support of Group Undertakings</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b w:val="1"/>
                <w:i w:val="1"/>
                <w:color w:val="000000"/>
                <w:rtl w:val="0"/>
              </w:rPr>
              <w:t xml:space="preserve">Gross Assets</w:t>
            </w:r>
            <w:r w:rsidDel="00000000" w:rsidR="00000000" w:rsidRPr="00000000">
              <w:rPr>
                <w:rFonts w:ascii="Arial" w:cs="Arial" w:eastAsia="Arial" w:hAnsi="Arial"/>
                <w:i w:val="1"/>
                <w:color w:val="000000"/>
                <w:rtl w:val="0"/>
              </w:rPr>
              <w:t xml:space="preserve">” = Fixed Assets + Current Assets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Group Exposure</w:t>
            </w:r>
            <w:r w:rsidDel="00000000" w:rsidR="00000000" w:rsidRPr="00000000">
              <w:rPr>
                <w:rFonts w:ascii="Arial" w:cs="Arial" w:eastAsia="Arial" w:hAnsi="Arial"/>
                <w:color w:val="000000"/>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rPr>
            </w:pPr>
            <w:r w:rsidDel="00000000" w:rsidR="00000000" w:rsidRPr="00000000">
              <w:rPr>
                <w:rFonts w:ascii="Arial" w:cs="Arial" w:eastAsia="Arial" w:hAnsi="Arial"/>
                <w:i w:val="1"/>
                <w:color w:val="000000"/>
                <w:u w:val="single"/>
                <w:rtl w:val="0"/>
              </w:rPr>
              <w:t xml:space="preserve">Gross Assets</w:t>
            </w:r>
            <w:r w:rsidDel="00000000" w:rsidR="00000000" w:rsidRPr="00000000">
              <w:rPr>
                <w:rFonts w:ascii="Arial" w:cs="Arial" w:eastAsia="Arial" w:hAnsi="Arial"/>
                <w:color w:val="000000"/>
                <w:rtl w:val="0"/>
              </w:rPr>
              <w:t xml:space="preserve">: Both Fixed assets and Current assets are shown on the face of the Balance Sheet]</w:t>
            </w:r>
          </w:p>
        </w:tc>
      </w:tr>
    </w:tbl>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0">
      <w:pPr>
        <w:spacing w:after="200" w:line="276" w:lineRule="auto"/>
        <w:jc w:val="left"/>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31">
      <w:pPr>
        <w:rPr>
          <w:rFonts w:ascii="Arial" w:cs="Arial" w:eastAsia="Arial" w:hAnsi="Arial"/>
          <w:b w:val="1"/>
          <w:sz w:val="20"/>
          <w:szCs w:val="20"/>
        </w:rPr>
      </w:pPr>
      <w:bookmarkStart w:colFirst="0" w:colLast="0" w:name="_heading=h.2p2csry" w:id="8"/>
      <w:bookmarkEnd w:id="8"/>
      <w:r w:rsidDel="00000000" w:rsidR="00000000" w:rsidRPr="00000000">
        <w:rPr>
          <w:rFonts w:ascii="Arial" w:cs="Arial" w:eastAsia="Arial" w:hAnsi="Arial"/>
          <w:b w:val="1"/>
          <w:sz w:val="20"/>
          <w:szCs w:val="20"/>
          <w:rtl w:val="0"/>
        </w:rPr>
        <w:t xml:space="preserve">Annex 4: Board Confirmation</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Supplier Name:</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Contract Reference Number:</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0"/>
          <w:szCs w:val="20"/>
        </w:rPr>
      </w:pPr>
      <w:bookmarkStart w:colFirst="0" w:colLast="0" w:name="_heading=h.147n2zr" w:id="9"/>
      <w:bookmarkEnd w:id="9"/>
      <w:r w:rsidDel="00000000" w:rsidR="00000000" w:rsidRPr="00000000">
        <w:rPr>
          <w:rFonts w:ascii="Arial" w:cs="Arial" w:eastAsia="Arial" w:hAnsi="Arial"/>
          <w:color w:val="000000"/>
          <w:sz w:val="20"/>
          <w:szCs w:val="20"/>
          <w:rtl w:val="0"/>
        </w:rPr>
        <w:t xml:space="preserve">The Board of Directors acknowledge the requirements set out at paragraph 8 of Schedule 18 (</w:t>
      </w:r>
      <w:r w:rsidDel="00000000" w:rsidR="00000000" w:rsidRPr="00000000">
        <w:rPr>
          <w:rFonts w:ascii="Arial" w:cs="Arial" w:eastAsia="Arial" w:hAnsi="Arial"/>
          <w:i w:val="1"/>
          <w:color w:val="000000"/>
          <w:sz w:val="20"/>
          <w:szCs w:val="20"/>
          <w:rtl w:val="0"/>
        </w:rPr>
        <w:t xml:space="preserve">Financial Distress</w:t>
      </w:r>
      <w:r w:rsidDel="00000000" w:rsidR="00000000" w:rsidRPr="00000000">
        <w:rPr>
          <w:rFonts w:ascii="Arial" w:cs="Arial" w:eastAsia="Arial" w:hAnsi="Arial"/>
          <w:color w:val="000000"/>
          <w:sz w:val="20"/>
          <w:szCs w:val="20"/>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7">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that a Financial Distress Event has occurred since the later of the previous Board Confirmation and the Commencement Date or is subsisting; or</w:t>
      </w:r>
    </w:p>
    <w:p w:rsidR="00000000" w:rsidDel="00000000" w:rsidP="00000000" w:rsidRDefault="00000000" w:rsidRPr="00000000" w14:paraId="00000138">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of any matters which have occurred or are subsisting that could reasonably be expected to cause a Financial Distress Event</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On behalf of the Board of Directors:</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Chair</w:t>
        <w:tab/>
        <w:tab/>
        <w:t xml:space="preserve">…………………………………</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Signed</w:t>
        <w:tab/>
        <w:tab/>
        <w:t xml:space="preserve">…………………………………</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Date</w:t>
        <w:tab/>
        <w:tab/>
        <w:t xml:space="preserve">…………………………………</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tab/>
        <w:tab/>
        <w:t xml:space="preserve">…………………………………</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Signed</w:t>
        <w:tab/>
        <w:tab/>
        <w:t xml:space="preserve">…………………………………</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Date</w:t>
        <w:tab/>
        <w:tab/>
        <w:t xml:space="preserve">…………………………………</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4">
      <w:pPr>
        <w:spacing w:after="200" w:line="276" w:lineRule="auto"/>
        <w:jc w:val="left"/>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4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Annex 5: Optional Clauses for Bronze Contracts</w:t>
      </w:r>
    </w:p>
    <w:p w:rsidR="00000000" w:rsidDel="00000000" w:rsidP="00000000" w:rsidRDefault="00000000" w:rsidRPr="00000000" w14:paraId="00000146">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Definitions</w:t>
      </w:r>
    </w:p>
    <w:p w:rsidR="00000000" w:rsidDel="00000000" w:rsidP="00000000" w:rsidRDefault="00000000" w:rsidRPr="00000000" w14:paraId="0000014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this Annex 5, the following words shall have the following meanings and they shall supplement Schedule 1 (Definitions):</w:t>
      </w:r>
    </w:p>
    <w:tbl>
      <w:tblPr>
        <w:tblStyle w:val="Table6"/>
        <w:tblW w:w="7560.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"Credit Rating Threshold"</w:t>
            </w:r>
          </w:p>
        </w:tc>
        <w:tc>
          <w:tcPr/>
          <w:p w:rsidR="00000000" w:rsidDel="00000000" w:rsidP="00000000" w:rsidRDefault="00000000" w:rsidRPr="00000000" w14:paraId="00000149">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Distress Event"</w:t>
            </w:r>
          </w:p>
        </w:tc>
        <w:tc>
          <w:tcPr/>
          <w:p w:rsidR="00000000" w:rsidDel="00000000" w:rsidP="00000000" w:rsidRDefault="00000000" w:rsidRPr="00000000" w14:paraId="0000014B">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occurrence or one or more of the following events:</w:t>
            </w:r>
          </w:p>
          <w:p w:rsidR="00000000" w:rsidDel="00000000" w:rsidP="00000000" w:rsidRDefault="00000000" w:rsidRPr="00000000" w14:paraId="0000014C">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credit rating of the Monitored Company dropping below the applicable Credit Rating Threshold;</w:t>
            </w:r>
          </w:p>
          <w:p w:rsidR="00000000" w:rsidDel="00000000" w:rsidP="00000000" w:rsidRDefault="00000000" w:rsidRPr="00000000" w14:paraId="0000014D">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E">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4F">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Monitored Company committing a material breach of covenant to its lenders; </w:t>
            </w:r>
          </w:p>
          <w:p w:rsidR="00000000" w:rsidDel="00000000" w:rsidP="00000000" w:rsidRDefault="00000000" w:rsidRPr="00000000" w14:paraId="00000150">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Key Subcontractor (where applicable) notifying the Authority that the Supplier has not satisfied any sums properly due under a specified invoice and not subject to a genuine dispute; or</w:t>
            </w:r>
          </w:p>
          <w:p w:rsidR="00000000" w:rsidDel="00000000" w:rsidP="00000000" w:rsidRDefault="00000000" w:rsidRPr="00000000" w14:paraId="00000151">
            <w:pPr>
              <w:numPr>
                <w:ilvl w:val="1"/>
                <w:numId w:val="4"/>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of the following:</w:t>
            </w:r>
          </w:p>
          <w:p w:rsidR="00000000" w:rsidDel="00000000" w:rsidP="00000000" w:rsidRDefault="00000000" w:rsidRPr="00000000" w14:paraId="00000152">
            <w:pPr>
              <w:numPr>
                <w:ilvl w:val="2"/>
                <w:numId w:val="4"/>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3">
            <w:pPr>
              <w:numPr>
                <w:ilvl w:val="2"/>
                <w:numId w:val="4"/>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non-payment by the Monitored Company of any financial indebtedness;</w:t>
            </w:r>
          </w:p>
          <w:p w:rsidR="00000000" w:rsidDel="00000000" w:rsidP="00000000" w:rsidRDefault="00000000" w:rsidRPr="00000000" w14:paraId="00000154">
            <w:pPr>
              <w:numPr>
                <w:ilvl w:val="2"/>
                <w:numId w:val="4"/>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financial indebtedness of the Monitored Company becoming due as a result of an event of default; or</w:t>
            </w:r>
          </w:p>
          <w:p w:rsidR="00000000" w:rsidDel="00000000" w:rsidP="00000000" w:rsidRDefault="00000000" w:rsidRPr="00000000" w14:paraId="00000155">
            <w:pPr>
              <w:numPr>
                <w:ilvl w:val="2"/>
                <w:numId w:val="4"/>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cancellation or suspension of any financial indebtedness in respect of the Monitored Company</w:t>
            </w:r>
          </w:p>
          <w:p w:rsidR="00000000" w:rsidDel="00000000" w:rsidP="00000000" w:rsidRDefault="00000000" w:rsidRPr="00000000" w14:paraId="00000156">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each case which the Authority reasonably believes (or would be likely reasonably to believe) could directly impact on the continued performance of any Contract and delivery of the Services in accordance with any Customer Contract;</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Distress Service Continuity Plan"</w:t>
            </w:r>
          </w:p>
        </w:tc>
        <w:tc>
          <w:tcPr/>
          <w:p w:rsidR="00000000" w:rsidDel="00000000" w:rsidP="00000000" w:rsidRDefault="00000000" w:rsidRPr="00000000" w14:paraId="00000158">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plan setting out how the Supplier will ensure the continued performance and delivery of the Services in accordance with each Contract in the event that a Financial Distress Event occurs;</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“Monitored Company”</w:t>
            </w:r>
          </w:p>
        </w:tc>
        <w:tc>
          <w:tcPr/>
          <w:p w:rsidR="00000000" w:rsidDel="00000000" w:rsidP="00000000" w:rsidRDefault="00000000" w:rsidRPr="00000000" w14:paraId="0000015A">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 [the Guarantor] or any Key Subcontractor]</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"Rating Agencies"</w:t>
            </w:r>
          </w:p>
        </w:tc>
        <w:tc>
          <w:tcPr/>
          <w:p w:rsidR="00000000" w:rsidDel="00000000" w:rsidP="00000000" w:rsidRDefault="00000000" w:rsidRPr="00000000" w14:paraId="0000015C">
            <w:pPr>
              <w:numPr>
                <w:ilvl w:val="0"/>
                <w:numId w:val="4"/>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rating agencies listed in Appendix 1.</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5E">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566" w:hanging="566"/>
        <w:jc w:val="left"/>
        <w:rPr>
          <w:rFonts w:ascii="Arial" w:cs="Arial" w:eastAsia="Arial" w:hAnsi="Arial"/>
          <w:b w:val="1"/>
          <w:smallCaps w:val="1"/>
          <w:color w:val="000000"/>
          <w:sz w:val="20"/>
          <w:szCs w:val="20"/>
        </w:rPr>
      </w:pPr>
      <w:bookmarkStart w:colFirst="0" w:colLast="0" w:name="_heading=h.3o7alnk" w:id="10"/>
      <w:bookmarkEnd w:id="10"/>
      <w:r w:rsidDel="00000000" w:rsidR="00000000" w:rsidRPr="00000000">
        <w:rPr>
          <w:rFonts w:ascii="Arial" w:cs="Arial" w:eastAsia="Arial" w:hAnsi="Arial"/>
          <w:b w:val="1"/>
          <w:color w:val="000000"/>
          <w:sz w:val="20"/>
          <w:szCs w:val="20"/>
          <w:rtl w:val="0"/>
        </w:rPr>
        <w:t xml:space="preserve">When this Schedule applies</w:t>
      </w:r>
      <w:r w:rsidDel="00000000" w:rsidR="00000000" w:rsidRPr="00000000">
        <w:rPr>
          <w:rtl w:val="0"/>
        </w:rPr>
      </w:r>
    </w:p>
    <w:p w:rsidR="00000000" w:rsidDel="00000000" w:rsidP="00000000" w:rsidRDefault="00000000" w:rsidRPr="00000000" w14:paraId="0000015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7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terms of this Annex 5 shall survive: </w:t>
      </w:r>
    </w:p>
    <w:p w:rsidR="00000000" w:rsidDel="00000000" w:rsidP="00000000" w:rsidRDefault="00000000" w:rsidRPr="00000000" w14:paraId="00000161">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under the Framework </w:t>
      </w:r>
      <w:r w:rsidDel="00000000" w:rsidR="00000000" w:rsidRPr="00000000">
        <w:rPr>
          <w:rFonts w:ascii="Arial" w:cs="Arial" w:eastAsia="Arial" w:hAnsi="Arial"/>
          <w:sz w:val="20"/>
          <w:szCs w:val="20"/>
          <w:rtl w:val="0"/>
        </w:rPr>
        <w:t xml:space="preserve">Agreement</w:t>
      </w:r>
      <w:r w:rsidDel="00000000" w:rsidR="00000000" w:rsidRPr="00000000">
        <w:rPr>
          <w:rFonts w:ascii="Arial" w:cs="Arial" w:eastAsia="Arial" w:hAnsi="Arial"/>
          <w:color w:val="000000"/>
          <w:sz w:val="20"/>
          <w:szCs w:val="20"/>
          <w:rtl w:val="0"/>
        </w:rPr>
        <w:t xml:space="preserve"> until the later of (a) the termination or expiry of the Framework </w:t>
      </w:r>
      <w:r w:rsidDel="00000000" w:rsidR="00000000" w:rsidRPr="00000000">
        <w:rPr>
          <w:rFonts w:ascii="Arial" w:cs="Arial" w:eastAsia="Arial" w:hAnsi="Arial"/>
          <w:sz w:val="20"/>
          <w:szCs w:val="20"/>
          <w:rtl w:val="0"/>
        </w:rPr>
        <w:t xml:space="preserve">Agreement</w:t>
      </w:r>
      <w:r w:rsidDel="00000000" w:rsidR="00000000" w:rsidRPr="00000000">
        <w:rPr>
          <w:rFonts w:ascii="Arial" w:cs="Arial" w:eastAsia="Arial" w:hAnsi="Arial"/>
          <w:color w:val="000000"/>
          <w:sz w:val="20"/>
          <w:szCs w:val="20"/>
          <w:rtl w:val="0"/>
        </w:rPr>
        <w:t xml:space="preserve"> or (b) the latest date of termination or expiry of any Customer Contract entered into under the Framework </w:t>
      </w:r>
      <w:r w:rsidDel="00000000" w:rsidR="00000000" w:rsidRPr="00000000">
        <w:rPr>
          <w:rFonts w:ascii="Arial" w:cs="Arial" w:eastAsia="Arial" w:hAnsi="Arial"/>
          <w:sz w:val="20"/>
          <w:szCs w:val="20"/>
          <w:rtl w:val="0"/>
        </w:rPr>
        <w:t xml:space="preserve">Agreement</w:t>
      </w:r>
      <w:r w:rsidDel="00000000" w:rsidR="00000000" w:rsidRPr="00000000">
        <w:rPr>
          <w:rFonts w:ascii="Arial" w:cs="Arial" w:eastAsia="Arial" w:hAnsi="Arial"/>
          <w:color w:val="000000"/>
          <w:sz w:val="20"/>
          <w:szCs w:val="20"/>
          <w:rtl w:val="0"/>
        </w:rPr>
        <w:t xml:space="preserve"> (which might be after the date of termination or expiry of the Framework </w:t>
      </w:r>
      <w:r w:rsidDel="00000000" w:rsidR="00000000" w:rsidRPr="00000000">
        <w:rPr>
          <w:rFonts w:ascii="Arial" w:cs="Arial" w:eastAsia="Arial" w:hAnsi="Arial"/>
          <w:sz w:val="20"/>
          <w:szCs w:val="20"/>
          <w:rtl w:val="0"/>
        </w:rPr>
        <w:t xml:space="preserve">Agreement</w:t>
      </w:r>
      <w:r w:rsidDel="00000000" w:rsidR="00000000" w:rsidRPr="00000000">
        <w:rPr>
          <w:rFonts w:ascii="Arial" w:cs="Arial" w:eastAsia="Arial" w:hAnsi="Arial"/>
          <w:color w:val="000000"/>
          <w:sz w:val="20"/>
          <w:szCs w:val="20"/>
          <w:rtl w:val="0"/>
        </w:rPr>
        <w:t xml:space="preserve">); and</w:t>
      </w:r>
    </w:p>
    <w:p w:rsidR="00000000" w:rsidDel="00000000" w:rsidP="00000000" w:rsidRDefault="00000000" w:rsidRPr="00000000" w14:paraId="00000162">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under the Customer Contract until the termination or expiry of the Customer Contract.</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985"/>
        </w:tabs>
        <w:spacing w:after="120" w:before="120" w:lineRule="auto"/>
        <w:ind w:left="2422"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4">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566" w:hanging="566"/>
        <w:jc w:val="left"/>
        <w:rPr>
          <w:rFonts w:ascii="Arial" w:cs="Arial" w:eastAsia="Arial" w:hAnsi="Arial"/>
          <w:b w:val="1"/>
          <w:smallCaps w:val="1"/>
          <w:color w:val="000000"/>
          <w:sz w:val="20"/>
          <w:szCs w:val="20"/>
        </w:rPr>
      </w:pPr>
      <w:r w:rsidDel="00000000" w:rsidR="00000000" w:rsidRPr="00000000">
        <w:rPr>
          <w:rFonts w:ascii="Arial" w:cs="Arial" w:eastAsia="Arial" w:hAnsi="Arial"/>
          <w:b w:val="1"/>
          <w:smallCaps w:val="1"/>
          <w:color w:val="000000"/>
          <w:sz w:val="20"/>
          <w:szCs w:val="20"/>
          <w:rtl w:val="0"/>
        </w:rPr>
        <w:t xml:space="preserve">W</w:t>
      </w:r>
      <w:r w:rsidDel="00000000" w:rsidR="00000000" w:rsidRPr="00000000">
        <w:rPr>
          <w:rFonts w:ascii="Arial" w:cs="Arial" w:eastAsia="Arial" w:hAnsi="Arial"/>
          <w:b w:val="1"/>
          <w:color w:val="000000"/>
          <w:sz w:val="20"/>
          <w:szCs w:val="20"/>
          <w:rtl w:val="0"/>
        </w:rPr>
        <w:t xml:space="preserve">hat happens when your credit rating changes</w:t>
      </w:r>
      <w:r w:rsidDel="00000000" w:rsidR="00000000" w:rsidRPr="00000000">
        <w:rPr>
          <w:rtl w:val="0"/>
        </w:rPr>
      </w:r>
    </w:p>
    <w:p w:rsidR="00000000" w:rsidDel="00000000" w:rsidP="00000000" w:rsidRDefault="00000000" w:rsidRPr="00000000" w14:paraId="0000016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23ckvvd" w:id="11"/>
      <w:bookmarkEnd w:id="11"/>
      <w:r w:rsidDel="00000000" w:rsidR="00000000" w:rsidRPr="00000000">
        <w:rPr>
          <w:rFonts w:ascii="Arial" w:cs="Arial" w:eastAsia="Arial" w:hAnsi="Arial"/>
          <w:color w:val="000000"/>
          <w:sz w:val="20"/>
          <w:szCs w:val="20"/>
          <w:rtl w:val="0"/>
        </w:rPr>
        <w:t xml:space="preserve">The Supplier warrants and represents to the Authority that as at the Start Date the long term credit ratings issued for the Monitored Companies by each of the Rating Agencies are as set out in Appendix 2. </w:t>
      </w:r>
    </w:p>
    <w:p w:rsidR="00000000" w:rsidDel="00000000" w:rsidP="00000000" w:rsidRDefault="00000000" w:rsidRPr="00000000" w14:paraId="0000016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promptly (and in any event within five (5) Working Days) notify the Authority in writing if there is any downgrade in the credit rating issued by any Rating Agency for a Monitored Company.</w:t>
      </w:r>
    </w:p>
    <w:p w:rsidR="00000000" w:rsidDel="00000000" w:rsidP="00000000" w:rsidRDefault="00000000" w:rsidRPr="00000000" w14:paraId="0000016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If there is any downgrade credit rating issued by any Rating Agency for the Monitored Company the Supplier shall ensure that the Monitored Company’s auditors thereafter provide the Authority within 10 Working Days of the end of each Contract Year and within 10 Working Days of written request by the Authority (such requests not to exceed 4 in any Contract Year) with written calculations of</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the quick ratio for the Monitored Company as at the end of each Contract Year or such other date as may be requested by the Authority.  For these purposes the "quick ratio" on any date means:</w:t>
      </w:r>
    </w:p>
    <w:p w:rsidR="00000000" w:rsidDel="00000000" w:rsidP="00000000" w:rsidRDefault="00000000" w:rsidRPr="00000000" w14:paraId="00000168">
      <w:pPr>
        <w:ind w:firstLine="1134"/>
        <w:jc w:val="left"/>
        <w:rPr>
          <w:rFonts w:ascii="Arial" w:cs="Arial" w:eastAsia="Arial" w:hAnsi="Arial"/>
          <w:sz w:val="20"/>
          <w:szCs w:val="20"/>
        </w:rPr>
      </w:pPr>
      <w:r w:rsidDel="00000000" w:rsidR="00000000" w:rsidRPr="00000000">
        <w:rPr>
          <w:rFonts w:ascii="Arial" w:cs="Arial" w:eastAsia="Arial" w:hAnsi="Arial"/>
          <w:sz w:val="20"/>
          <w:szCs w:val="20"/>
        </w:rPr>
        <w:drawing>
          <wp:inline distB="0" distT="0" distL="0" distR="0">
            <wp:extent cx="609600" cy="163195"/>
            <wp:effectExtent b="0" l="0" r="0" t="0"/>
            <wp:docPr id="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0"/>
          <w:szCs w:val="20"/>
        </w:rPr>
        <w:drawing>
          <wp:inline distB="0" distT="0" distL="0" distR="0">
            <wp:extent cx="609600" cy="315595"/>
            <wp:effectExtent b="0" l="0" r="0" t="0"/>
            <wp:docPr id="7"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3402"/>
        </w:tabs>
        <w:spacing w:after="220" w:lineRule="auto"/>
        <w:ind w:left="720"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w:t>
      </w:r>
    </w:p>
    <w:tbl>
      <w:tblPr>
        <w:tblStyle w:val="Table7"/>
        <w:tblW w:w="8317.0" w:type="dxa"/>
        <w:jc w:val="left"/>
        <w:tblInd w:w="5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95"/>
        <w:gridCol w:w="6822"/>
        <w:tblGridChange w:id="0">
          <w:tblGrid>
            <w:gridCol w:w="1495"/>
            <w:gridCol w:w="6822"/>
          </w:tblGrid>
        </w:tblGridChange>
      </w:tblGrid>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is the value at the relevant date of the current liabilities of the Monitored Company].</w:t>
            </w:r>
          </w:p>
        </w:tc>
      </w:tr>
    </w:tbl>
    <w:p w:rsidR="00000000" w:rsidDel="00000000" w:rsidP="00000000" w:rsidRDefault="00000000" w:rsidRPr="00000000" w14:paraId="0000017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ihv636" w:id="12"/>
      <w:bookmarkEnd w:id="12"/>
      <w:r w:rsidDel="00000000" w:rsidR="00000000" w:rsidRPr="00000000">
        <w:rPr>
          <w:rFonts w:ascii="Arial" w:cs="Arial" w:eastAsia="Arial" w:hAnsi="Arial"/>
          <w:color w:val="000000"/>
          <w:sz w:val="20"/>
          <w:szCs w:val="20"/>
          <w:rtl w:val="0"/>
        </w:rPr>
        <w:t xml:space="preserve">The Supplier shall: </w:t>
      </w:r>
    </w:p>
    <w:p w:rsidR="00000000" w:rsidDel="00000000" w:rsidP="00000000" w:rsidRDefault="00000000" w:rsidRPr="00000000" w14:paraId="00000173">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regularly monitor the credit ratings of each Monitored Company with the Rating Agencies; and </w:t>
      </w:r>
    </w:p>
    <w:p w:rsidR="00000000" w:rsidDel="00000000" w:rsidP="00000000" w:rsidRDefault="00000000" w:rsidRPr="00000000" w14:paraId="00000174">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32hioqz" w:id="13"/>
      <w:bookmarkEnd w:id="13"/>
      <w:r w:rsidDel="00000000" w:rsidR="00000000" w:rsidRPr="00000000">
        <w:rPr>
          <w:rFonts w:ascii="Arial" w:cs="Arial" w:eastAsia="Arial" w:hAnsi="Arial"/>
          <w:color w:val="000000"/>
          <w:sz w:val="20"/>
          <w:szCs w:val="20"/>
          <w:rtl w:val="0"/>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134"/>
        </w:tabs>
        <w:spacing w:after="120" w:before="120" w:lineRule="auto"/>
        <w:ind w:left="566"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7">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0"/>
          <w:szCs w:val="20"/>
        </w:rPr>
      </w:pPr>
      <w:r w:rsidDel="00000000" w:rsidR="00000000" w:rsidRPr="00000000">
        <w:rPr>
          <w:rFonts w:ascii="Arial" w:cs="Arial" w:eastAsia="Arial" w:hAnsi="Arial"/>
          <w:b w:val="1"/>
          <w:color w:val="000000"/>
          <w:sz w:val="20"/>
          <w:szCs w:val="20"/>
          <w:rtl w:val="0"/>
        </w:rPr>
        <w:t xml:space="preserve">What happens if there is a financial distress event</w:t>
      </w:r>
      <w:r w:rsidDel="00000000" w:rsidR="00000000" w:rsidRPr="00000000">
        <w:rPr>
          <w:rtl w:val="0"/>
        </w:rPr>
      </w:r>
    </w:p>
    <w:p w:rsidR="00000000" w:rsidDel="00000000" w:rsidP="00000000" w:rsidRDefault="00000000" w:rsidRPr="00000000" w14:paraId="0000017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1hmsyys" w:id="14"/>
      <w:bookmarkEnd w:id="14"/>
      <w:r w:rsidDel="00000000" w:rsidR="00000000" w:rsidRPr="00000000">
        <w:rPr>
          <w:rFonts w:ascii="Arial" w:cs="Arial" w:eastAsia="Arial" w:hAnsi="Arial"/>
          <w:color w:val="000000"/>
          <w:sz w:val="20"/>
          <w:szCs w:val="20"/>
          <w:rtl w:val="0"/>
        </w:rPr>
        <w:t xml:space="preserve">In the event of a Financial Distress Event then, immediately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4.3 to 4.6 of this Annex 5.</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134"/>
        </w:tabs>
        <w:spacing w:after="120" w:before="120" w:lineRule="auto"/>
        <w:ind w:left="283" w:firstLine="0"/>
        <w:jc w:val="left"/>
        <w:rPr>
          <w:rFonts w:ascii="Arial" w:cs="Arial" w:eastAsia="Arial" w:hAnsi="Arial"/>
          <w:color w:val="000000"/>
          <w:sz w:val="20"/>
          <w:szCs w:val="20"/>
        </w:rPr>
      </w:pPr>
      <w:bookmarkStart w:colFirst="0" w:colLast="0" w:name="_heading=h.41mghml" w:id="15"/>
      <w:bookmarkEnd w:id="15"/>
      <w:r w:rsidDel="00000000" w:rsidR="00000000" w:rsidRPr="00000000">
        <w:rPr>
          <w:rFonts w:ascii="Arial" w:cs="Arial" w:eastAsia="Arial" w:hAnsi="Arial"/>
          <w:color w:val="000000"/>
          <w:sz w:val="20"/>
          <w:szCs w:val="20"/>
          <w:rtl w:val="0"/>
        </w:rPr>
        <w:t xml:space="preserve">[Guidance: delete this clause if there are no Key Subcontractors or the Key Subcontractors are not Monitored Company]</w:t>
      </w:r>
    </w:p>
    <w:p w:rsidR="00000000" w:rsidDel="00000000" w:rsidP="00000000" w:rsidRDefault="00000000" w:rsidRPr="00000000" w14:paraId="0000017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the event that a Financial Distress Event arises due to a Key Subcontractor notifying the Authority that the Supplier has not satisfied any sums properly due under a specified invoice and not subject to a genuine dispute then, the Authority shall not exercise any of its rights or remedies under Paragraph 4.3 without first giving the Supplier ten (10) Working Days to:</w:t>
      </w:r>
    </w:p>
    <w:p w:rsidR="00000000" w:rsidDel="00000000" w:rsidP="00000000" w:rsidRDefault="00000000" w:rsidRPr="00000000" w14:paraId="0000017B">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rectify such late or non-payment; or </w:t>
      </w:r>
    </w:p>
    <w:p w:rsidR="00000000" w:rsidDel="00000000" w:rsidP="00000000" w:rsidRDefault="00000000" w:rsidRPr="00000000" w14:paraId="0000017C">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demonstrate to the Authority's reasonable satisfaction that there is a valid reason for late or non-payment.]</w:t>
      </w:r>
    </w:p>
    <w:p w:rsidR="00000000" w:rsidDel="00000000" w:rsidP="00000000" w:rsidRDefault="00000000" w:rsidRPr="00000000" w14:paraId="0000017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vx1227" w:id="16"/>
      <w:bookmarkEnd w:id="16"/>
      <w:r w:rsidDel="00000000" w:rsidR="00000000" w:rsidRPr="00000000">
        <w:rPr>
          <w:rFonts w:ascii="Arial" w:cs="Arial" w:eastAsia="Arial" w:hAnsi="Arial"/>
          <w:color w:val="000000"/>
          <w:sz w:val="20"/>
          <w:szCs w:val="20"/>
          <w:rtl w:val="0"/>
        </w:rPr>
        <w:t xml:space="preserve">The Supplier shall and shall procure that the other Monitored Companies shall:</w:t>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3fwokq0" w:id="17"/>
      <w:bookmarkEnd w:id="17"/>
      <w:r w:rsidDel="00000000" w:rsidR="00000000" w:rsidRPr="00000000">
        <w:rPr>
          <w:rFonts w:ascii="Arial" w:cs="Arial" w:eastAsia="Arial" w:hAnsi="Arial"/>
          <w:color w:val="000000"/>
          <w:sz w:val="20"/>
          <w:szCs w:val="20"/>
          <w:rtl w:val="0"/>
        </w:rPr>
        <w:t xml:space="preserve">at the request of the Authority meet the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Services in accordance each Customer Contract; and</w:t>
      </w:r>
    </w:p>
    <w:p w:rsidR="00000000" w:rsidDel="00000000" w:rsidP="00000000" w:rsidRDefault="00000000" w:rsidRPr="00000000" w14:paraId="0000017F">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1v1yuxt" w:id="18"/>
      <w:bookmarkEnd w:id="18"/>
      <w:r w:rsidDel="00000000" w:rsidR="00000000" w:rsidRPr="00000000">
        <w:rPr>
          <w:rFonts w:ascii="Arial" w:cs="Arial" w:eastAsia="Arial" w:hAnsi="Arial"/>
          <w:color w:val="000000"/>
          <w:sz w:val="20"/>
          <w:szCs w:val="20"/>
          <w:rtl w:val="0"/>
        </w:rPr>
        <w:t xml:space="preserve">where the Authority reasonably believes (taking into account the discussions and any representations made under Paragraph 4.3.1) that the Financial Distress Event could impact on the continued performance of each Contract and delivery of the Services in accordance with each Customer Contract: </w:t>
      </w:r>
    </w:p>
    <w:p w:rsidR="00000000" w:rsidDel="00000000" w:rsidP="00000000" w:rsidRDefault="00000000" w:rsidRPr="00000000" w14:paraId="00000180">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to the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81">
      <w:pPr>
        <w:numPr>
          <w:ilvl w:val="3"/>
          <w:numId w:val="3"/>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0"/>
          <w:szCs w:val="20"/>
        </w:rPr>
      </w:pPr>
      <w:bookmarkStart w:colFirst="0" w:colLast="0" w:name="_heading=h.4f1mdlm" w:id="19"/>
      <w:bookmarkEnd w:id="19"/>
      <w:r w:rsidDel="00000000" w:rsidR="00000000" w:rsidRPr="00000000">
        <w:rPr>
          <w:rFonts w:ascii="Arial" w:cs="Arial" w:eastAsia="Arial" w:hAnsi="Arial"/>
          <w:color w:val="000000"/>
          <w:sz w:val="20"/>
          <w:szCs w:val="20"/>
          <w:rtl w:val="0"/>
        </w:rPr>
        <w:t xml:space="preserve">provide such financial information relating to the Monitored Company as the Authority may reasonably require.</w:t>
      </w:r>
    </w:p>
    <w:p w:rsidR="00000000" w:rsidDel="00000000" w:rsidP="00000000" w:rsidRDefault="00000000" w:rsidRPr="00000000" w14:paraId="0000018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2u6wntf" w:id="20"/>
      <w:bookmarkEnd w:id="20"/>
      <w:r w:rsidDel="00000000" w:rsidR="00000000" w:rsidRPr="00000000">
        <w:rPr>
          <w:rFonts w:ascii="Arial" w:cs="Arial" w:eastAsia="Arial" w:hAnsi="Arial"/>
          <w:color w:val="000000"/>
          <w:sz w:val="20"/>
          <w:szCs w:val="20"/>
          <w:rtl w:val="0"/>
        </w:rPr>
        <w:t xml:space="preserve">If the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five (5) Working Days of the rejection of the first or subsequent (as the case may be) drafts. This process shall be repeated until the Financial Distress Service Continuity Plan is Approved by the Authority or referred to the Dispute Resolution Procedure.</w:t>
      </w:r>
    </w:p>
    <w:p w:rsidR="00000000" w:rsidDel="00000000" w:rsidP="00000000" w:rsidRDefault="00000000" w:rsidRPr="00000000" w14:paraId="0000018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19c6y18" w:id="21"/>
      <w:bookmarkEnd w:id="21"/>
      <w:r w:rsidDel="00000000" w:rsidR="00000000" w:rsidRPr="00000000">
        <w:rPr>
          <w:rFonts w:ascii="Arial" w:cs="Arial" w:eastAsia="Arial" w:hAnsi="Arial"/>
          <w:color w:val="000000"/>
          <w:sz w:val="20"/>
          <w:szCs w:val="20"/>
          <w:rtl w:val="0"/>
        </w:rPr>
        <w:t xml:space="preserve">If the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3tbugp1" w:id="22"/>
      <w:bookmarkEnd w:id="22"/>
      <w:r w:rsidDel="00000000" w:rsidR="00000000" w:rsidRPr="00000000">
        <w:rPr>
          <w:rFonts w:ascii="Arial" w:cs="Arial" w:eastAsia="Arial" w:hAnsi="Arial"/>
          <w:color w:val="000000"/>
          <w:sz w:val="20"/>
          <w:szCs w:val="20"/>
          <w:rtl w:val="0"/>
        </w:rPr>
        <w:t xml:space="preserve">Following Approval of the Financial Distress Service Continuity Plan by the Authority, the Supplier shall:</w:t>
      </w:r>
    </w:p>
    <w:p w:rsidR="00000000" w:rsidDel="00000000" w:rsidP="00000000" w:rsidRDefault="00000000" w:rsidRPr="00000000" w14:paraId="00000185">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28h4qwu" w:id="23"/>
      <w:bookmarkEnd w:id="23"/>
      <w:r w:rsidDel="00000000" w:rsidR="00000000" w:rsidRPr="00000000">
        <w:rPr>
          <w:rFonts w:ascii="Arial" w:cs="Arial" w:eastAsia="Arial" w:hAnsi="Arial"/>
          <w:color w:val="000000"/>
          <w:sz w:val="20"/>
          <w:szCs w:val="20"/>
          <w:rtl w:val="0"/>
        </w:rPr>
        <w:t xml:space="preserve">on a regular basis (which shall not be less than Monthly), review the Financial Distress Service Continuity Plan and assess whether it remains adequate and up to date to ensure the continued performance each Contract and delivery of the Services in accordance with each Customer Contract;</w:t>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nmf14n" w:id="24"/>
      <w:bookmarkEnd w:id="24"/>
      <w:r w:rsidDel="00000000" w:rsidR="00000000" w:rsidRPr="00000000">
        <w:rPr>
          <w:rFonts w:ascii="Arial" w:cs="Arial" w:eastAsia="Arial" w:hAnsi="Arial"/>
          <w:color w:val="000000"/>
          <w:sz w:val="20"/>
          <w:szCs w:val="20"/>
          <w:rtl w:val="0"/>
        </w:rPr>
        <w:t xml:space="preserve">where the Financial Distress Service Continuity Plan is not adequate or up to date in accordance with Paragraph 4.6.1, submit an updated Financial Distress Service Continuity Plan to the Authority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bookmarkStart w:colFirst="0" w:colLast="0" w:name="_heading=h.37m2jsg" w:id="25"/>
      <w:bookmarkEnd w:id="25"/>
      <w:r w:rsidDel="00000000" w:rsidR="00000000" w:rsidRPr="00000000">
        <w:rPr>
          <w:rFonts w:ascii="Arial" w:cs="Arial" w:eastAsia="Arial" w:hAnsi="Arial"/>
          <w:color w:val="000000"/>
          <w:sz w:val="20"/>
          <w:szCs w:val="20"/>
          <w:rtl w:val="0"/>
        </w:rPr>
        <w:t xml:space="preserve">comply with the Financial Distress Service Continuity Plan (including any updated Financial Distress Service Continuity Plan).</w:t>
      </w:r>
    </w:p>
    <w:p w:rsidR="00000000" w:rsidDel="00000000" w:rsidP="00000000" w:rsidRDefault="00000000" w:rsidRPr="00000000" w14:paraId="0000018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1mrcu09" w:id="26"/>
      <w:bookmarkEnd w:id="26"/>
      <w:r w:rsidDel="00000000" w:rsidR="00000000" w:rsidRPr="00000000">
        <w:rPr>
          <w:rFonts w:ascii="Arial" w:cs="Arial" w:eastAsia="Arial" w:hAnsi="Arial"/>
          <w:color w:val="000000"/>
          <w:sz w:val="20"/>
          <w:szCs w:val="20"/>
          <w:rtl w:val="0"/>
        </w:rPr>
        <w:t xml:space="preserve">Where the Supplier reasonably believes that the relevant Financial Distress Event (or the circumstance or matter which has caused or otherwise led to it) no longer exists, it shall notify the Authority and subject to the agreement of the Parties, the Supplier may be relieved of its obligations under Paragraph 4.6. </w:t>
      </w:r>
    </w:p>
    <w:p w:rsidR="00000000" w:rsidDel="00000000" w:rsidP="00000000" w:rsidRDefault="00000000" w:rsidRPr="00000000" w14:paraId="0000018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be able to share any information it receives from the Customer in accordance with this Paragraph with any Customer who has entered into a Customer Contract with the Supplier.</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B">
      <w:pPr>
        <w:keepNext w:val="1"/>
        <w:numPr>
          <w:ilvl w:val="0"/>
          <w:numId w:val="3"/>
        </w:numPr>
        <w:pBdr>
          <w:top w:space="0" w:sz="0" w:val="nil"/>
          <w:left w:space="0" w:sz="0" w:val="nil"/>
          <w:bottom w:space="0" w:sz="0" w:val="nil"/>
          <w:right w:space="0" w:sz="0" w:val="nil"/>
          <w:between w:space="0" w:sz="0" w:val="nil"/>
        </w:pBdr>
        <w:tabs>
          <w:tab w:val="left" w:leader="none" w:pos="-7"/>
        </w:tabs>
        <w:spacing w:before="120" w:lineRule="auto"/>
        <w:ind w:left="566" w:hanging="566"/>
        <w:jc w:val="left"/>
        <w:rPr>
          <w:rFonts w:ascii="Arial" w:cs="Arial" w:eastAsia="Arial" w:hAnsi="Arial"/>
          <w:b w:val="1"/>
          <w:smallCaps w:val="1"/>
          <w:color w:val="000000"/>
          <w:sz w:val="20"/>
          <w:szCs w:val="20"/>
        </w:rPr>
      </w:pPr>
      <w:r w:rsidDel="00000000" w:rsidR="00000000" w:rsidRPr="00000000">
        <w:rPr>
          <w:rFonts w:ascii="Arial" w:cs="Arial" w:eastAsia="Arial" w:hAnsi="Arial"/>
          <w:b w:val="1"/>
          <w:color w:val="000000"/>
          <w:sz w:val="20"/>
          <w:szCs w:val="20"/>
          <w:rtl w:val="0"/>
        </w:rPr>
        <w:t xml:space="preserve">When the Authority or the Customer can terminate for financial distress </w:t>
      </w:r>
      <w:r w:rsidDel="00000000" w:rsidR="00000000" w:rsidRPr="00000000">
        <w:rPr>
          <w:rtl w:val="0"/>
        </w:rPr>
      </w:r>
    </w:p>
    <w:p w:rsidR="00000000" w:rsidDel="00000000" w:rsidP="00000000" w:rsidRDefault="00000000" w:rsidRPr="00000000" w14:paraId="0000018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bookmarkStart w:colFirst="0" w:colLast="0" w:name="_heading=h.46r0co2" w:id="27"/>
      <w:bookmarkEnd w:id="27"/>
      <w:r w:rsidDel="00000000" w:rsidR="00000000" w:rsidRPr="00000000">
        <w:rPr>
          <w:rFonts w:ascii="Arial" w:cs="Arial" w:eastAsia="Arial" w:hAnsi="Arial"/>
          <w:color w:val="000000"/>
          <w:sz w:val="20"/>
          <w:szCs w:val="20"/>
          <w:rtl w:val="0"/>
        </w:rPr>
        <w:t xml:space="preserve">The Authority shall be entitled to terminate this Contract and Customers shall be entitled to terminate their Customer Contracts for material Default if: </w:t>
      </w:r>
    </w:p>
    <w:p w:rsidR="00000000" w:rsidDel="00000000" w:rsidP="00000000" w:rsidRDefault="00000000" w:rsidRPr="00000000" w14:paraId="0000018D">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fails to notify the Authority of a Financial Distress Event in accordance with Paragraph 3.4; </w:t>
      </w:r>
    </w:p>
    <w:p w:rsidR="00000000" w:rsidDel="00000000" w:rsidP="00000000" w:rsidRDefault="00000000" w:rsidRPr="00000000" w14:paraId="0000018E">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F">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985"/>
        </w:tabs>
        <w:spacing w:after="120" w:before="12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1">
      <w:pPr>
        <w:keepNext w:val="1"/>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566" w:hanging="566"/>
        <w:jc w:val="left"/>
        <w:rPr>
          <w:rFonts w:ascii="Arial" w:cs="Arial" w:eastAsia="Arial" w:hAnsi="Arial"/>
          <w:b w:val="1"/>
          <w:smallCaps w:val="1"/>
          <w:color w:val="000000"/>
          <w:sz w:val="20"/>
          <w:szCs w:val="20"/>
        </w:rPr>
      </w:pPr>
      <w:bookmarkStart w:colFirst="0" w:colLast="0" w:name="_heading=h.2lwamvv" w:id="28"/>
      <w:bookmarkEnd w:id="28"/>
      <w:r w:rsidDel="00000000" w:rsidR="00000000" w:rsidRPr="00000000">
        <w:rPr>
          <w:rFonts w:ascii="Arial" w:cs="Arial" w:eastAsia="Arial" w:hAnsi="Arial"/>
          <w:b w:val="1"/>
          <w:color w:val="000000"/>
          <w:sz w:val="20"/>
          <w:szCs w:val="20"/>
          <w:rtl w:val="0"/>
        </w:rPr>
        <w:t xml:space="preserve">What happens If your credit rating is still good</w:t>
      </w:r>
      <w:r w:rsidDel="00000000" w:rsidR="00000000" w:rsidRPr="00000000">
        <w:rPr>
          <w:rtl w:val="0"/>
        </w:rPr>
      </w:r>
    </w:p>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566" w:hanging="566"/>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Without prejudice to the Supplier’s obligations and the Authority’s and the Customer’s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3">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be relieved automatically of its obligations under Paragraphs 4.3 to 4.6; and</w:t>
      </w:r>
    </w:p>
    <w:p w:rsidR="00000000" w:rsidDel="00000000" w:rsidP="00000000" w:rsidRDefault="00000000" w:rsidRPr="00000000" w14:paraId="00000194">
      <w:pPr>
        <w:numPr>
          <w:ilvl w:val="2"/>
          <w:numId w:val="3"/>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Authority shall not be entitled to require the Supplier to provide financial information in accordance with Paragraph 4.3.2(b). </w:t>
      </w:r>
      <w:r w:rsidDel="00000000" w:rsidR="00000000" w:rsidRPr="00000000">
        <w:br w:type="page"/>
      </w:r>
      <w:r w:rsidDel="00000000" w:rsidR="00000000" w:rsidRPr="00000000">
        <w:rPr>
          <w:rtl w:val="0"/>
        </w:rPr>
      </w:r>
    </w:p>
    <w:p w:rsidR="00000000" w:rsidDel="00000000" w:rsidP="00000000" w:rsidRDefault="00000000" w:rsidRPr="00000000" w14:paraId="00000195">
      <w:pPr>
        <w:rPr>
          <w:rFonts w:ascii="Arial" w:cs="Arial" w:eastAsia="Arial" w:hAnsi="Arial"/>
          <w:sz w:val="20"/>
          <w:szCs w:val="20"/>
        </w:rPr>
      </w:pPr>
      <w:bookmarkStart w:colFirst="0" w:colLast="0" w:name="_heading=h.3l18frh" w:id="29"/>
      <w:bookmarkEnd w:id="29"/>
      <w:r w:rsidDel="00000000" w:rsidR="00000000" w:rsidRPr="00000000">
        <w:rPr>
          <w:rFonts w:ascii="Arial" w:cs="Arial" w:eastAsia="Arial" w:hAnsi="Arial"/>
          <w:sz w:val="20"/>
          <w:szCs w:val="20"/>
          <w:rtl w:val="0"/>
        </w:rPr>
        <w:t xml:space="preserve">Appendix 1: Rating Agencies</w:t>
      </w:r>
    </w:p>
    <w:p w:rsidR="00000000" w:rsidDel="00000000" w:rsidP="00000000" w:rsidRDefault="00000000" w:rsidRPr="00000000" w14:paraId="0000019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[Rating Agency 1]</w:t>
      </w:r>
    </w:p>
    <w:p w:rsidR="00000000" w:rsidDel="00000000" w:rsidP="00000000" w:rsidRDefault="00000000" w:rsidRPr="00000000" w14:paraId="0000019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[Rating Agency 2]</w:t>
      </w:r>
    </w:p>
    <w:p w:rsidR="00000000" w:rsidDel="00000000" w:rsidP="00000000" w:rsidRDefault="00000000" w:rsidRPr="00000000" w14:paraId="00000198">
      <w:pPr>
        <w:rPr>
          <w:rFonts w:ascii="Arial" w:cs="Arial" w:eastAsia="Arial" w:hAnsi="Arial"/>
          <w:sz w:val="20"/>
          <w:szCs w:val="20"/>
        </w:rPr>
      </w:pPr>
      <w:bookmarkStart w:colFirst="0" w:colLast="0" w:name="_heading=h.206ipza" w:id="30"/>
      <w:bookmarkEnd w:id="30"/>
      <w:r w:rsidDel="00000000" w:rsidR="00000000" w:rsidRPr="00000000">
        <w:br w:type="page"/>
      </w:r>
      <w:r w:rsidDel="00000000" w:rsidR="00000000" w:rsidRPr="00000000">
        <w:rPr>
          <w:rFonts w:ascii="Arial" w:cs="Arial" w:eastAsia="Arial" w:hAnsi="Arial"/>
          <w:sz w:val="20"/>
          <w:szCs w:val="20"/>
          <w:rtl w:val="0"/>
        </w:rPr>
        <w:t xml:space="preserve">Appendix 2: Credit Ratings and Credit Rating Thresholds</w:t>
      </w:r>
    </w:p>
    <w:p w:rsidR="00000000" w:rsidDel="00000000" w:rsidP="00000000" w:rsidRDefault="00000000" w:rsidRPr="00000000" w14:paraId="00000199">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0"/>
          <w:szCs w:val="20"/>
        </w:rPr>
      </w:pPr>
      <w:r w:rsidDel="00000000" w:rsidR="00000000" w:rsidRPr="00000000">
        <w:rPr>
          <w:rFonts w:ascii="Arial" w:cs="Arial" w:eastAsia="Arial" w:hAnsi="Arial"/>
          <w:b w:val="1"/>
          <w:color w:val="000000"/>
          <w:sz w:val="20"/>
          <w:szCs w:val="20"/>
          <w:rtl w:val="0"/>
        </w:rPr>
        <w:t xml:space="preserve">Part 1: Current Rating</w:t>
      </w:r>
      <w:r w:rsidDel="00000000" w:rsidR="00000000" w:rsidRPr="00000000">
        <w:rPr>
          <w:rtl w:val="0"/>
        </w:rPr>
      </w:r>
    </w:p>
    <w:tbl>
      <w:tblPr>
        <w:tblStyle w:val="Table8"/>
        <w:tblW w:w="6255.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75"/>
        <w:gridCol w:w="3075"/>
        <w:gridCol w:w="105"/>
        <w:tblGridChange w:id="0">
          <w:tblGrid>
            <w:gridCol w:w="3075"/>
            <w:gridCol w:w="3075"/>
            <w:gridCol w:w="105"/>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Entity</w:t>
            </w:r>
          </w:p>
        </w:tc>
        <w:tc>
          <w:tcPr>
            <w:tcBorders>
              <w:top w:color="000000" w:space="0" w:sz="4" w:val="single"/>
            </w:tcBorders>
            <w:shd w:fill="ffffff" w:val="clear"/>
          </w:tcPr>
          <w:p w:rsidR="00000000" w:rsidDel="00000000" w:rsidP="00000000" w:rsidRDefault="00000000" w:rsidRPr="00000000" w14:paraId="0000019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Credit rating (long term) </w:t>
            </w:r>
          </w:p>
        </w:tc>
      </w:tr>
      <w:tr>
        <w:trPr>
          <w:cantSplit w:val="0"/>
          <w:tblHeader w:val="0"/>
        </w:trPr>
        <w:tc>
          <w:tcPr>
            <w:shd w:fill="ffffff" w:val="clear"/>
          </w:tcPr>
          <w:p w:rsidR="00000000" w:rsidDel="00000000" w:rsidP="00000000" w:rsidRDefault="00000000" w:rsidRPr="00000000" w14:paraId="0000019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w:t>
            </w:r>
          </w:p>
        </w:tc>
        <w:tc>
          <w:tcPr>
            <w:gridSpan w:val="2"/>
            <w:shd w:fill="ffffff" w:val="clear"/>
          </w:tcPr>
          <w:p w:rsidR="00000000" w:rsidDel="00000000" w:rsidP="00000000" w:rsidRDefault="00000000" w:rsidRPr="00000000" w14:paraId="0000019D">
            <w:pPr>
              <w:keepNext w:val="1"/>
              <w:pBdr>
                <w:top w:space="0" w:sz="0" w:val="nil"/>
                <w:left w:space="0" w:sz="0" w:val="nil"/>
                <w:bottom w:space="0" w:sz="0" w:val="nil"/>
                <w:right w:space="0" w:sz="0" w:val="nil"/>
                <w:between w:space="0" w:sz="0" w:val="nil"/>
              </w:pBdr>
              <w:spacing w:after="120" w:before="240" w:lineRule="auto"/>
              <w:ind w:left="142" w:right="105"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[D&amp;B Threshold]</w:t>
            </w:r>
          </w:p>
        </w:tc>
      </w:tr>
      <w:tr>
        <w:trPr>
          <w:cantSplit w:val="0"/>
          <w:tblHeader w:val="0"/>
        </w:trPr>
        <w:tc>
          <w:tcPr>
            <w:shd w:fill="ffffff" w:val="clear"/>
          </w:tcPr>
          <w:p w:rsidR="00000000" w:rsidDel="00000000" w:rsidP="00000000" w:rsidRDefault="00000000" w:rsidRPr="00000000" w14:paraId="0000019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[Guarantor]</w:t>
            </w:r>
          </w:p>
        </w:tc>
        <w:tc>
          <w:tcPr>
            <w:gridSpan w:val="2"/>
            <w:shd w:fill="ffffff" w:val="clear"/>
          </w:tcPr>
          <w:p w:rsidR="00000000" w:rsidDel="00000000" w:rsidP="00000000" w:rsidRDefault="00000000" w:rsidRPr="00000000" w14:paraId="000001A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3">
            <w:pPr>
              <w:keepNext w:val="1"/>
              <w:pBdr>
                <w:top w:space="0" w:sz="0" w:val="nil"/>
                <w:left w:space="0" w:sz="0" w:val="nil"/>
                <w:bottom w:space="0" w:sz="0" w:val="nil"/>
                <w:right w:space="0" w:sz="0" w:val="nil"/>
                <w:between w:space="0" w:sz="0" w:val="nil"/>
              </w:pBdr>
              <w:spacing w:after="120" w:before="240" w:lineRule="auto"/>
              <w:ind w:left="142" w:right="850" w:firstLine="0"/>
              <w:jc w:val="left"/>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A4">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5">
      <w:pPr>
        <w:spacing w:after="200" w:line="276" w:lineRule="auto"/>
        <w:jc w:val="left"/>
        <w:rPr>
          <w:rFonts w:ascii="Arial" w:cs="Arial" w:eastAsia="Arial" w:hAnsi="Arial"/>
          <w:sz w:val="20"/>
          <w:szCs w:val="20"/>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17" w:right="141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76277590.2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B">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D">
    <w:pPr>
      <w:spacing w:after="0" w:lineRule="auto"/>
      <w:rPr>
        <w:color w:val="bfbfbf"/>
      </w:rPr>
    </w:pPr>
    <w:r w:rsidDel="00000000" w:rsidR="00000000" w:rsidRPr="00000000">
      <w:rPr>
        <w:color w:val="bfbfbf"/>
        <w:rtl w:val="0"/>
      </w:rPr>
      <w:t xml:space="preserve">Model Version : v3.0</w:t>
      <w:tab/>
      <w:tab/>
      <w:tab/>
      <w:tab/>
    </w:r>
  </w:p>
  <w:p w:rsidR="00000000" w:rsidDel="00000000" w:rsidP="00000000" w:rsidRDefault="00000000" w:rsidRPr="00000000" w14:paraId="000001AE">
    <w:pPr>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76277590.2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76277590.2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64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566" w:hanging="56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VWcBLnGgXP0Bay4hEhCVqpJiNg==">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2023-01-20T14:03:00Z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DocID">
    <vt:lpwstr>76277590.2</vt:lpwstr>
  </property>
</Properties>
</file>